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6E" w:rsidRPr="00D51E16" w:rsidRDefault="0032476E" w:rsidP="00324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1E16">
        <w:rPr>
          <w:rFonts w:ascii="Times New Roman" w:hAnsi="Times New Roman" w:cs="Times New Roman"/>
          <w:b/>
          <w:sz w:val="24"/>
          <w:szCs w:val="24"/>
        </w:rPr>
        <w:t>LA EPIDEMIA DE VIRUELA EN GUANAJUATO (1944-45)</w:t>
      </w:r>
    </w:p>
    <w:p w:rsidR="0032476E" w:rsidRDefault="0032476E" w:rsidP="00324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E16">
        <w:rPr>
          <w:rFonts w:ascii="Times New Roman" w:hAnsi="Times New Roman" w:cs="Times New Roman"/>
          <w:b/>
          <w:sz w:val="24"/>
          <w:szCs w:val="24"/>
        </w:rPr>
        <w:t>Luis Cervantes García (1914-2007)</w:t>
      </w:r>
    </w:p>
    <w:p w:rsidR="0032476E" w:rsidRDefault="0032476E" w:rsidP="0032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76E" w:rsidRDefault="0032476E" w:rsidP="0032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texto que se presenta, ha sido tomado del libro “Testimonio de un Médico de Infantería” de la autoría del Dr. Luis Cervantes García</w:t>
      </w:r>
      <w:r w:rsidR="00AF2FC7">
        <w:rPr>
          <w:rFonts w:ascii="Times New Roman" w:hAnsi="Times New Roman" w:cs="Times New Roman"/>
          <w:sz w:val="24"/>
          <w:szCs w:val="24"/>
        </w:rPr>
        <w:t xml:space="preserve">, obra en la que </w:t>
      </w:r>
      <w:r w:rsidR="00347744">
        <w:rPr>
          <w:rFonts w:ascii="Times New Roman" w:hAnsi="Times New Roman" w:cs="Times New Roman"/>
          <w:sz w:val="24"/>
          <w:szCs w:val="24"/>
        </w:rPr>
        <w:t xml:space="preserve">el autor </w:t>
      </w:r>
      <w:r w:rsidR="00AF2FC7">
        <w:rPr>
          <w:rFonts w:ascii="Times New Roman" w:hAnsi="Times New Roman" w:cs="Times New Roman"/>
          <w:sz w:val="24"/>
          <w:szCs w:val="24"/>
        </w:rPr>
        <w:t xml:space="preserve">dejó </w:t>
      </w:r>
      <w:r>
        <w:rPr>
          <w:rFonts w:ascii="Times New Roman" w:hAnsi="Times New Roman" w:cs="Times New Roman"/>
          <w:sz w:val="24"/>
          <w:szCs w:val="24"/>
        </w:rPr>
        <w:t xml:space="preserve">plasmadas sus memorias de ejercicio médico, profesión a la que dedicó 60 años de </w:t>
      </w:r>
      <w:r w:rsidR="00940280">
        <w:rPr>
          <w:rFonts w:ascii="Times New Roman" w:hAnsi="Times New Roman" w:cs="Times New Roman"/>
          <w:sz w:val="24"/>
          <w:szCs w:val="24"/>
        </w:rPr>
        <w:t xml:space="preserve">su vida.  </w:t>
      </w:r>
      <w:r w:rsidR="00AF2FC7">
        <w:rPr>
          <w:rFonts w:ascii="Times New Roman" w:hAnsi="Times New Roman" w:cs="Times New Roman"/>
          <w:sz w:val="24"/>
          <w:szCs w:val="24"/>
        </w:rPr>
        <w:t xml:space="preserve">Ante la contingencia sanitaria que se vive en el país y en el mundo, conviene revisar cómo se vivió </w:t>
      </w:r>
      <w:r w:rsidR="009C5B01">
        <w:rPr>
          <w:rFonts w:ascii="Times New Roman" w:hAnsi="Times New Roman" w:cs="Times New Roman"/>
          <w:sz w:val="24"/>
          <w:szCs w:val="24"/>
        </w:rPr>
        <w:t xml:space="preserve">en la ciudad de Guanajuato </w:t>
      </w:r>
      <w:r w:rsidR="00347744">
        <w:rPr>
          <w:rFonts w:ascii="Times New Roman" w:hAnsi="Times New Roman" w:cs="Times New Roman"/>
          <w:sz w:val="24"/>
          <w:szCs w:val="24"/>
        </w:rPr>
        <w:t xml:space="preserve">la </w:t>
      </w:r>
      <w:r w:rsidR="00AF2FC7">
        <w:rPr>
          <w:rFonts w:ascii="Times New Roman" w:hAnsi="Times New Roman" w:cs="Times New Roman"/>
          <w:sz w:val="24"/>
          <w:szCs w:val="24"/>
        </w:rPr>
        <w:t xml:space="preserve">experiencia médica y humana </w:t>
      </w:r>
      <w:r w:rsidR="00347744">
        <w:rPr>
          <w:rFonts w:ascii="Times New Roman" w:hAnsi="Times New Roman" w:cs="Times New Roman"/>
          <w:sz w:val="24"/>
          <w:szCs w:val="24"/>
        </w:rPr>
        <w:t xml:space="preserve">que tuvo como propósito </w:t>
      </w:r>
      <w:r w:rsidR="009C5B01">
        <w:rPr>
          <w:rFonts w:ascii="Times New Roman" w:hAnsi="Times New Roman" w:cs="Times New Roman"/>
          <w:sz w:val="24"/>
          <w:szCs w:val="24"/>
        </w:rPr>
        <w:t xml:space="preserve">erradicar la epidemia de viruela, suceso que se </w:t>
      </w:r>
      <w:r w:rsidR="00AF2FC7">
        <w:rPr>
          <w:rFonts w:ascii="Times New Roman" w:hAnsi="Times New Roman" w:cs="Times New Roman"/>
          <w:sz w:val="24"/>
          <w:szCs w:val="24"/>
        </w:rPr>
        <w:t>remonta a la mitad de los años 40 del siglo pasado.</w:t>
      </w:r>
    </w:p>
    <w:p w:rsidR="0032476E" w:rsidRPr="0032476E" w:rsidRDefault="00940280" w:rsidP="0032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Luis </w:t>
      </w:r>
      <w:r w:rsidR="00AF2FC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ervantes García fue profesor de la Universidad de Guanajuato de </w:t>
      </w:r>
      <w:smartTag w:uri="urn:schemas-microsoft-com:office:smarttags" w:element="metricconverter">
        <w:smartTagPr>
          <w:attr w:name="ProductID" w:val="1943 a"/>
        </w:smartTagPr>
        <w:r w:rsidR="0032476E" w:rsidRPr="0032476E">
          <w:rPr>
            <w:rFonts w:ascii="Times New Roman" w:hAnsi="Times New Roman" w:cs="Times New Roman"/>
            <w:sz w:val="24"/>
            <w:szCs w:val="24"/>
          </w:rPr>
          <w:t>1943 a</w:t>
        </w:r>
      </w:smartTag>
      <w:r w:rsidR="0032476E" w:rsidRPr="0032476E">
        <w:rPr>
          <w:rFonts w:ascii="Times New Roman" w:hAnsi="Times New Roman" w:cs="Times New Roman"/>
          <w:sz w:val="24"/>
          <w:szCs w:val="24"/>
        </w:rPr>
        <w:t xml:space="preserve"> 1977 </w:t>
      </w:r>
      <w:r>
        <w:rPr>
          <w:rFonts w:ascii="Times New Roman" w:hAnsi="Times New Roman" w:cs="Times New Roman"/>
          <w:sz w:val="24"/>
          <w:szCs w:val="24"/>
        </w:rPr>
        <w:t xml:space="preserve">donde impartió </w:t>
      </w:r>
      <w:r w:rsidR="0032476E" w:rsidRPr="0032476E">
        <w:rPr>
          <w:rFonts w:ascii="Times New Roman" w:hAnsi="Times New Roman" w:cs="Times New Roman"/>
          <w:sz w:val="24"/>
          <w:szCs w:val="24"/>
        </w:rPr>
        <w:t>varias cátedras</w:t>
      </w:r>
      <w:r>
        <w:rPr>
          <w:rFonts w:ascii="Times New Roman" w:hAnsi="Times New Roman" w:cs="Times New Roman"/>
          <w:sz w:val="24"/>
          <w:szCs w:val="24"/>
        </w:rPr>
        <w:t xml:space="preserve">: En </w:t>
      </w:r>
      <w:r w:rsidR="0032476E" w:rsidRPr="0032476E">
        <w:rPr>
          <w:rFonts w:ascii="Times New Roman" w:hAnsi="Times New Roman" w:cs="Times New Roman"/>
          <w:sz w:val="24"/>
          <w:szCs w:val="24"/>
        </w:rPr>
        <w:t>los bachilleratos de Leyes y Medicina, enseñó Biología, Premédica, Anatomía y Fisiología e instituyó la cátedra de Ética Médica. En la Escuela de Enfermería y en la entonces Facultad de Química de la misma Universidad impartió las cátedras de Nociones de Ginecología, Anatomía y Fisiología, Obstetricia, Física Médica, Microbiología, Higiene Industrial, Biología, Virología y Bioquímica así como Nociones de Biología para Ingenieros.</w:t>
      </w: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D51E16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>Palabras clave: epidemia de viruela, Guanajuato, vacunación</w:t>
      </w:r>
    </w:p>
    <w:p w:rsidR="00D51E16" w:rsidRDefault="00D51E16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8547E1" w:rsidRDefault="008547E1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  <w:sectPr w:rsidR="008547E1" w:rsidSect="00CE3864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pgNumType w:start="27"/>
          <w:cols w:space="708"/>
          <w:docGrid w:linePitch="360"/>
        </w:sectPr>
      </w:pPr>
    </w:p>
    <w:p w:rsidR="00871909" w:rsidRPr="00770D8C" w:rsidRDefault="00871909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70D8C">
        <w:rPr>
          <w:rFonts w:ascii="Times New Roman" w:eastAsia="BookmanOldStyle" w:hAnsi="Times New Roman" w:cs="Times New Roman"/>
          <w:sz w:val="24"/>
          <w:szCs w:val="24"/>
        </w:rPr>
        <w:lastRenderedPageBreak/>
        <w:t>Es ilustrativo narrar lo sucedido a propósito de la epidemia de viruela de1944-45, la última registrada en la historia sanitaria de México.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Guanajuato lleg</w:t>
      </w:r>
      <w:r w:rsidR="00770D8C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esa terrible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enfermedad con los romeros que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regres</w:t>
      </w:r>
      <w:r w:rsidR="00770D8C" w:rsidRPr="00770D8C">
        <w:rPr>
          <w:rFonts w:ascii="Times New Roman" w:eastAsia="BookmanOldStyle" w:hAnsi="Times New Roman" w:cs="Times New Roman"/>
          <w:sz w:val="24"/>
          <w:szCs w:val="24"/>
        </w:rPr>
        <w:t>a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ban de San Juan de Los Lagos. Hubo muchos casos aquí y se</w:t>
      </w:r>
      <w:r w:rsidR="002B62EE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dispers</w:t>
      </w:r>
      <w:r w:rsidR="0016195D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en varios sitios de la sierra de difícil acceso (El Chocolate, El Varal, Agua Colorada, Joya de Lobos, Santiagu</w:t>
      </w:r>
      <w:r w:rsidR="00770D8C" w:rsidRPr="00770D8C">
        <w:rPr>
          <w:rFonts w:ascii="Times New Roman" w:eastAsia="BookmanOldStyle" w:hAnsi="Times New Roman" w:cs="Times New Roman"/>
          <w:sz w:val="24"/>
          <w:szCs w:val="24"/>
        </w:rPr>
        <w:t>i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llo, El Tabl</w:t>
      </w:r>
      <w:r w:rsidR="00F10C6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n, El Cubo y campamentos carboneros vecinos, etc.)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.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Cuando se inició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en serio la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campaña no había ni un mapa correc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to del municipio de Guanajuato.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Tuvimos que elaborar uno entre el Ingenie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ro Sanitario Ernesto Vega y yo.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El Ing. Vega era un hombre sapient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simo, pero muy rec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ndito y modesto.</w:t>
      </w:r>
    </w:p>
    <w:p w:rsidR="00871909" w:rsidRPr="00770D8C" w:rsidRDefault="00871909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70D8C">
        <w:rPr>
          <w:rFonts w:ascii="Times New Roman" w:eastAsia="BookmanOldStyle" w:hAnsi="Times New Roman" w:cs="Times New Roman"/>
          <w:sz w:val="24"/>
          <w:szCs w:val="24"/>
        </w:rPr>
        <w:t>Aun lo recuerdo, cargado de hombros, f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umando, con los brazos cruzados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en actitud orante, de uno de los cuales colgaba un bast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n. Calvo, todo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frente, su cara era una combinaci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n 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interesante de rasgos seniles e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infantiles. Miope,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lastRenderedPageBreak/>
        <w:t>proteg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sus ojos br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illantes y burlones con gruesos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lentes; casi desdentado, sonre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entre amable e ir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nico. Poco comunicativo al parecer, se volv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un ameno conversador con quien le abr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pl</w:t>
      </w:r>
      <w:r w:rsidR="00770D8C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tica. Erudito en matem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ticas e ingenier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a, sab</w:t>
      </w:r>
      <w:r w:rsidR="00770D8C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esquematizar sobria y claramente los proyectos. Pues bien, el mapa-gu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nos sirvi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para recorrer el municipio de Guanajuato y darnos cuenta de que la viruela se había extendido mucho. Desgraciadamente, las brigadas sanitarias de vacunaci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n, pese a su empe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ño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, no lograron su objetivo de inmunizar a toda la gente; la p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sima educaci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higi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nica y el tonto temor al “gobierno”produc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an el lamentable efecto de que cuando lleg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bamos a un lugar, la mayor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de la gente hab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hu</w:t>
      </w:r>
      <w:r w:rsidR="00C030E0">
        <w:rPr>
          <w:rFonts w:ascii="Times New Roman" w:eastAsia="BookmanOldStyle" w:hAnsi="Times New Roman" w:cs="Times New Roman"/>
          <w:sz w:val="24"/>
          <w:szCs w:val="24"/>
        </w:rPr>
        <w:t>i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do al cerro o se escond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en la sierra; solo quedaban los enfermos y algunos familiares. Por supuesto, aparecían nuevos casos. Total: la viruela duro casi un a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ño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en las rancher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as y campamentos carboneros hasta que se agotaron los susceptibles.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lastRenderedPageBreak/>
        <w:t>Era entonces gobernador del Estado don Ernesto Hidalgo y jefe de los Servicios Coordinados el Dr. Aranda.</w:t>
      </w:r>
    </w:p>
    <w:p w:rsidR="00770D8C" w:rsidRDefault="00871909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70D8C">
        <w:rPr>
          <w:rFonts w:ascii="Times New Roman" w:eastAsia="BookmanOldStyle" w:hAnsi="Times New Roman" w:cs="Times New Roman"/>
          <w:sz w:val="24"/>
          <w:szCs w:val="24"/>
        </w:rPr>
        <w:t>Me toc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a m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la enorme responsabil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idad de dirigir la campana. Por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tratarse de un estado de emergencia, se declar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la dictadura sa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nitaria.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Aparte del personal de las brigadas, estaba a mi disposici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un piquete de soldados al mando de un sargento. Acordonamos las entradas y salidas de la ciudad y yo me coloqu</w:t>
      </w:r>
      <w:r w:rsidR="000871DB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en una caseta situada m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 all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del Cantador,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junto a una gasolinera propiedad de don Gilberto Valdivia. All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se pudo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establecer una barrera que </w:t>
      </w:r>
      <w:r w:rsidR="000871DB">
        <w:rPr>
          <w:rFonts w:ascii="Times New Roman" w:eastAsia="BookmanOldStyle" w:hAnsi="Times New Roman" w:cs="Times New Roman"/>
          <w:sz w:val="24"/>
          <w:szCs w:val="24"/>
        </w:rPr>
        <w:t xml:space="preserve">únicamente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atrav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esaban las personas inoculadas.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La vacunaci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fue llevada a cabo manz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ana por manzana, casa por casa,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sin excepci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de persona. Hubo que practicar el censo de la poblaci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n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para controlar la inmunizaci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y la lectura a los ocho d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as. Fue un trabajo enorme, fatigoso, no exento de problemas, pero efectivo. Los renuentes (negados) eran multados y si se trataba de “notables” (personajes de los llamados influyentes o considerados como “cultos”), aparte de escribir los nombres en pizarrones que se colocaban en el Mercado Hidalgo y en el Jard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de la Uni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n, se mencionaba el cargo oficial que desempe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ñ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aba el remiso y la cuant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de la multa impuesta. Se trataba de hacer p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ú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blica la mala educaci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del renuente y de paso, atemorizar a los que quisieran negarse a la vacunaci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n.</w:t>
      </w:r>
    </w:p>
    <w:p w:rsidR="000871DB" w:rsidRDefault="00871909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70D8C">
        <w:rPr>
          <w:rFonts w:ascii="Times New Roman" w:eastAsia="BookmanOldStyle" w:hAnsi="Times New Roman" w:cs="Times New Roman"/>
          <w:sz w:val="24"/>
          <w:szCs w:val="24"/>
        </w:rPr>
        <w:t>Y por supuesto hubo sorpresas. Entre los citados y multados estaban nada menos que el Director de Educaci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n, Rodolfo Lozada, el Lic. Jos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Luis Ibarguengoitia, los Dres. Guillermo Torres y Daniel de Jes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ú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 Hern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ndez y otras personas de nivel cultural apreciable, pero que adoptaron la incomprensible actitud de renuentes. En esos d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as, estaba yo cargado de trabajo, revisando los expedientes de vacunaci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n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lastRenderedPageBreak/>
        <w:t>de los d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as pasados, separando a los renuentes, calculando los 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ndices de protecci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n, etc., cuando recib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 xml:space="preserve">í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una llamada telef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nica del Jefe de los Servicios. Sub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y me recibi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sonriente, o m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ás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bien entre en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rgico y sonriente:</w:t>
      </w:r>
    </w:p>
    <w:p w:rsidR="00871909" w:rsidRPr="00770D8C" w:rsidRDefault="00871909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70D8C">
        <w:rPr>
          <w:rFonts w:ascii="Times New Roman" w:eastAsia="BookmanOldStyle" w:hAnsi="Times New Roman" w:cs="Times New Roman"/>
          <w:sz w:val="24"/>
          <w:szCs w:val="24"/>
        </w:rPr>
        <w:t>“!</w:t>
      </w:r>
      <w:r w:rsidR="000871DB">
        <w:rPr>
          <w:rFonts w:ascii="Times New Roman" w:eastAsia="BookmanOldStyle" w:hAnsi="Times New Roman" w:cs="Times New Roman"/>
          <w:sz w:val="24"/>
          <w:szCs w:val="24"/>
        </w:rPr>
        <w:t>!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Pero que ha hecho Ud. </w:t>
      </w:r>
      <w:r w:rsidR="000871DB" w:rsidRPr="00770D8C">
        <w:rPr>
          <w:rFonts w:ascii="Times New Roman" w:eastAsia="BookmanOldStyle" w:hAnsi="Times New Roman" w:cs="Times New Roman"/>
          <w:sz w:val="24"/>
          <w:szCs w:val="24"/>
        </w:rPr>
        <w:t>D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octo</w:t>
      </w:r>
      <w:r w:rsidR="000871DB">
        <w:rPr>
          <w:rFonts w:ascii="Times New Roman" w:eastAsia="BookmanOldStyle" w:hAnsi="Times New Roman" w:cs="Times New Roman"/>
          <w:sz w:val="24"/>
          <w:szCs w:val="24"/>
        </w:rPr>
        <w:t xml:space="preserve">r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!!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Multar al Sr. Lozada! </w:t>
      </w:r>
      <w:r w:rsidR="000871DB">
        <w:rPr>
          <w:rFonts w:ascii="Times New Roman" w:eastAsia="BookmanOldStyle" w:hAnsi="Times New Roman" w:cs="Times New Roman"/>
          <w:sz w:val="24"/>
          <w:szCs w:val="24"/>
        </w:rPr>
        <w:t>¿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No sabe que puesto ocupa? Eso va a causar conflictos con el gobierno.” “Mire doctor Aranda: estamos en plena dictadura sanitaria, cargados de trabajo, pidiendo la cooperaci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de las autoridades y de la gente para proteger la ciudad, y he aqu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que quien por su puesto deber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ser el primero en dejarse vacunar, se reh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ú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sa y da p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simo ejemplo a la gente. El C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digo Sanitario no establece excepci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de personas en la situaci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de emergencia en que estamos. Pero si Ud. no me apoya, ah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est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su arpa. Bastante trabajo hay para otros”. “C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lmese, c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lmese -me dijo medio sonriendo- Estoy de acuerdo. Pero en otro caso parecido av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seme primero”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 xml:space="preserve">.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No hubo problemas y don Rodolfo Lozada fue motivo de cr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tica y de irrisión por su renuencia.</w:t>
      </w:r>
    </w:p>
    <w:p w:rsidR="00770D8C" w:rsidRDefault="00871909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70D8C">
        <w:rPr>
          <w:rFonts w:ascii="Times New Roman" w:eastAsia="BookmanOldStyle" w:hAnsi="Times New Roman" w:cs="Times New Roman"/>
          <w:sz w:val="24"/>
          <w:szCs w:val="24"/>
        </w:rPr>
        <w:t>Entre la poblaci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hubo franca colaboraci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n y solo recuerdo a un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carnicero el cual hubo de ser sacado d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e su casa por dos soldados para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llevarlo a vacunar. En las garitas hubo varios incidentes. Un d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se present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un señor moreno, alto, 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 xml:space="preserve">obeso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de anteojos obscuro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s, rodeado de algunas personas.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Se empe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ña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ba en pasar sin dejarse vacunar. Empez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el forcejeo. “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>¿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>Qu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>é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no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sabe Ud. qui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én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soy? -me pregunto arrogantemente- “No se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ñ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or, y aunque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lo supiera, no entra a la ciudad sin vacunarse” “Yo soy Luis Montes” –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repiti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-, como si su nombre fuera un “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brete s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samo”. “Lo siento. O se deja vacunar o no entra.” Los acompa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ñan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tes empezaron a vociferar. Pero yo ten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a mis argumentos. “Mi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lastRenderedPageBreak/>
        <w:t>sargento -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grite al soldado que mandaba el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piquete-, proceda como ya sabe”. El sargento, con gran aparato, orden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ó a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los soldados mover los fusiles, algo as</w:t>
      </w:r>
      <w:r w:rsidR="005E34D8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como cortar cartucho y disponer a meter “al bote” al ilustre don Luis Montes. La maniobra, 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sta vez y en otras similares, dio resultado, y don Luis pudo entrar a la ciudad bien vacunado y con dos enormes cruces de yodo que le pinte en la espalda como contrase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ñ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a de haber obedecido.</w:t>
      </w:r>
    </w:p>
    <w:p w:rsidR="00871909" w:rsidRPr="00770D8C" w:rsidRDefault="00871909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70D8C">
        <w:rPr>
          <w:rFonts w:ascii="Times New Roman" w:eastAsia="BookmanOldStyle" w:hAnsi="Times New Roman" w:cs="Times New Roman"/>
          <w:sz w:val="24"/>
          <w:szCs w:val="24"/>
        </w:rPr>
        <w:t>M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 dif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cil se puso un 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>g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eneral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 xml:space="preserve"> del ejército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. Quise hacerle entender que precisamente por serlo, comprender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a el significado de las 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rdenes y la disciplina en la emergencia por la que atravesaba la ciudad. Pero el grado se le subi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 xml:space="preserve">ó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mucho y empez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a insultar, por lo que “mi” sargento tuvo que cortar cartucho de veras y decirle: “Mi general, lo siento mucho; pero tengo 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rdenes de no dejar pasar a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lastRenderedPageBreak/>
        <w:t>nadie sin vacunar y de aprehender y consignar a quienes se est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án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portando inconvenientemente”. Y el general tuvo que entender las “razones”; se dej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vacunar. No as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í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un m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dico oculista de Morelia, que prefiri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 xml:space="preserve">ó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volver grupas a dejarse vacunar. Con un diplom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tico sueco no hub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o dificultad. Por telé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fono y chapurreando franc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 le inform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>é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de la situaci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anormal; anuencia inmediata a la petici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n de dejarse vacunar.</w:t>
      </w:r>
    </w:p>
    <w:p w:rsidR="008B73E2" w:rsidRDefault="00871909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Tras muchas semanas de 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 xml:space="preserve">arduo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trabajo terminamos la tarea. Vali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ó</w:t>
      </w:r>
      <w:r w:rsidR="00770D8C">
        <w:rPr>
          <w:rFonts w:ascii="Times New Roman" w:eastAsia="BookmanOldStyle" w:hAnsi="Times New Roman" w:cs="Times New Roman"/>
          <w:sz w:val="24"/>
          <w:szCs w:val="24"/>
        </w:rPr>
        <w:t xml:space="preserve"> la 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pena porque nunca m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á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s ha habido viruela. Esa fu</w:t>
      </w:r>
      <w:r w:rsidR="004B4BD0">
        <w:rPr>
          <w:rFonts w:ascii="Times New Roman" w:eastAsia="BookmanOldStyle" w:hAnsi="Times New Roman" w:cs="Times New Roman"/>
          <w:sz w:val="24"/>
          <w:szCs w:val="24"/>
        </w:rPr>
        <w:t>e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 xml:space="preserve"> la </w:t>
      </w:r>
      <w:r w:rsidR="00810946" w:rsidRPr="00770D8C">
        <w:rPr>
          <w:rFonts w:ascii="Times New Roman" w:eastAsia="BookmanOldStyle" w:hAnsi="Times New Roman" w:cs="Times New Roman"/>
          <w:sz w:val="24"/>
          <w:szCs w:val="24"/>
        </w:rPr>
        <w:t>ú</w:t>
      </w:r>
      <w:r w:rsidRPr="00770D8C">
        <w:rPr>
          <w:rFonts w:ascii="Times New Roman" w:eastAsia="BookmanOldStyle" w:hAnsi="Times New Roman" w:cs="Times New Roman"/>
          <w:sz w:val="24"/>
          <w:szCs w:val="24"/>
        </w:rPr>
        <w:t>ltima epidemia.</w:t>
      </w: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8547E1" w:rsidRDefault="008547E1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  <w:sectPr w:rsidR="008547E1" w:rsidSect="008547E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  <w:sectPr w:rsidR="0032476E" w:rsidSect="008547E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p w:rsidR="0032476E" w:rsidRDefault="0032476E" w:rsidP="0077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2476E" w:rsidSect="0032476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2476E" w:rsidRPr="0032476E" w:rsidRDefault="0032476E" w:rsidP="0032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</w:p>
    <w:sectPr w:rsidR="0032476E" w:rsidRPr="0032476E" w:rsidSect="0032476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FE" w:rsidRDefault="00BE1CFE" w:rsidP="00451253">
      <w:pPr>
        <w:spacing w:after="0" w:line="240" w:lineRule="auto"/>
      </w:pPr>
      <w:r>
        <w:separator/>
      </w:r>
    </w:p>
  </w:endnote>
  <w:endnote w:type="continuationSeparator" w:id="0">
    <w:p w:rsidR="00BE1CFE" w:rsidRDefault="00BE1CFE" w:rsidP="0045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36069"/>
      <w:docPartObj>
        <w:docPartGallery w:val="Page Numbers (Bottom of Page)"/>
        <w:docPartUnique/>
      </w:docPartObj>
    </w:sdtPr>
    <w:sdtContent>
      <w:p w:rsidR="00CE3864" w:rsidRDefault="00CE38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3864">
          <w:rPr>
            <w:noProof/>
            <w:lang w:val="es-ES"/>
          </w:rPr>
          <w:t>27</w:t>
        </w:r>
        <w:r>
          <w:fldChar w:fldCharType="end"/>
        </w:r>
      </w:p>
    </w:sdtContent>
  </w:sdt>
  <w:p w:rsidR="00CE3864" w:rsidRDefault="00CE38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FE" w:rsidRDefault="00BE1CFE" w:rsidP="00451253">
      <w:pPr>
        <w:spacing w:after="0" w:line="240" w:lineRule="auto"/>
      </w:pPr>
      <w:r>
        <w:separator/>
      </w:r>
    </w:p>
  </w:footnote>
  <w:footnote w:type="continuationSeparator" w:id="0">
    <w:p w:rsidR="00BE1CFE" w:rsidRDefault="00BE1CFE" w:rsidP="0045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46"/>
      <w:gridCol w:w="4882"/>
      <w:gridCol w:w="2880"/>
    </w:tblGrid>
    <w:tr w:rsidR="00451253" w:rsidTr="00A70A2F">
      <w:tc>
        <w:tcPr>
          <w:tcW w:w="87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1253" w:rsidRPr="00FA0A9C" w:rsidRDefault="00451253" w:rsidP="00451253">
          <w:pPr>
            <w:pStyle w:val="Encabezado"/>
            <w:rPr>
              <w:sz w:val="20"/>
              <w:szCs w:val="20"/>
            </w:rPr>
          </w:pPr>
          <w:r>
            <w:rPr>
              <w:noProof/>
              <w:lang w:eastAsia="zh-CN"/>
            </w:rPr>
            <w:drawing>
              <wp:inline distT="0" distB="0" distL="0" distR="0" wp14:anchorId="2F21B57B" wp14:editId="3B3C01BB">
                <wp:extent cx="590550" cy="5905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scar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2" w:type="dxa"/>
          <w:tcBorders>
            <w:top w:val="nil"/>
            <w:left w:val="nil"/>
            <w:bottom w:val="nil"/>
            <w:right w:val="nil"/>
          </w:tcBorders>
        </w:tcPr>
        <w:p w:rsidR="00451253" w:rsidRDefault="00451253" w:rsidP="00451253">
          <w:pPr>
            <w:pStyle w:val="Encabezado"/>
            <w:rPr>
              <w:sz w:val="20"/>
              <w:szCs w:val="20"/>
            </w:rPr>
          </w:pPr>
          <w:r w:rsidRPr="00FA0A9C">
            <w:rPr>
              <w:sz w:val="20"/>
              <w:szCs w:val="20"/>
            </w:rPr>
            <w:t>Naturaleza y Tecnología</w:t>
          </w:r>
        </w:p>
        <w:p w:rsidR="00451253" w:rsidRDefault="00451253" w:rsidP="00451253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Enero-Junio 2020</w:t>
          </w:r>
        </w:p>
        <w:p w:rsidR="00451253" w:rsidRDefault="00451253" w:rsidP="00451253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ISSN 2007-672X</w:t>
          </w:r>
        </w:p>
        <w:p w:rsidR="00451253" w:rsidRDefault="00451253" w:rsidP="00451253">
          <w:pPr>
            <w:pStyle w:val="Encabezado"/>
          </w:pPr>
          <w:r>
            <w:rPr>
              <w:sz w:val="20"/>
              <w:szCs w:val="20"/>
            </w:rPr>
            <w:t>Universidad de Guanajuato</w: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451253" w:rsidRDefault="00451253" w:rsidP="00451253">
          <w:pPr>
            <w:pStyle w:val="Encabezado"/>
          </w:pPr>
        </w:p>
      </w:tc>
    </w:tr>
  </w:tbl>
  <w:p w:rsidR="00451253" w:rsidRDefault="004512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9"/>
    <w:rsid w:val="000871DB"/>
    <w:rsid w:val="0016195D"/>
    <w:rsid w:val="002B62EE"/>
    <w:rsid w:val="0032476E"/>
    <w:rsid w:val="00347744"/>
    <w:rsid w:val="00451253"/>
    <w:rsid w:val="004B4BD0"/>
    <w:rsid w:val="005E34D8"/>
    <w:rsid w:val="00770D8C"/>
    <w:rsid w:val="00810946"/>
    <w:rsid w:val="008547E1"/>
    <w:rsid w:val="00871909"/>
    <w:rsid w:val="008B73E2"/>
    <w:rsid w:val="00940280"/>
    <w:rsid w:val="009C5B01"/>
    <w:rsid w:val="00AF2FC7"/>
    <w:rsid w:val="00B23892"/>
    <w:rsid w:val="00BE1CFE"/>
    <w:rsid w:val="00C030E0"/>
    <w:rsid w:val="00CE3864"/>
    <w:rsid w:val="00D51E16"/>
    <w:rsid w:val="00D8356D"/>
    <w:rsid w:val="00ED3CFE"/>
    <w:rsid w:val="00F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64E22B91-0EEB-4EF8-A9A3-AD30C88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253"/>
  </w:style>
  <w:style w:type="paragraph" w:styleId="Piedepgina">
    <w:name w:val="footer"/>
    <w:basedOn w:val="Normal"/>
    <w:link w:val="PiedepginaCar"/>
    <w:uiPriority w:val="99"/>
    <w:unhideWhenUsed/>
    <w:rsid w:val="00451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253"/>
  </w:style>
  <w:style w:type="table" w:styleId="Tablaconcuadrcula">
    <w:name w:val="Table Grid"/>
    <w:basedOn w:val="Tablanormal"/>
    <w:uiPriority w:val="59"/>
    <w:rsid w:val="004512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1299</Words>
  <Characters>6654</Characters>
  <Application>Microsoft Office Word</Application>
  <DocSecurity>0</DocSecurity>
  <Lines>214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17</cp:revision>
  <dcterms:created xsi:type="dcterms:W3CDTF">2020-06-29T18:00:00Z</dcterms:created>
  <dcterms:modified xsi:type="dcterms:W3CDTF">2020-07-23T02:36:00Z</dcterms:modified>
</cp:coreProperties>
</file>