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2A88" w14:textId="1756D865" w:rsidR="00920B52" w:rsidRDefault="00920B52" w:rsidP="0088788D">
      <w:pPr>
        <w:spacing w:line="240" w:lineRule="auto"/>
        <w:ind w:right="51"/>
        <w:jc w:val="center"/>
        <w:rPr>
          <w:rFonts w:ascii="Times New Roman" w:hAnsi="Times New Roman" w:cs="Times New Roman"/>
          <w:b/>
          <w:bCs/>
          <w:sz w:val="24"/>
          <w:szCs w:val="24"/>
        </w:rPr>
      </w:pPr>
      <w:r w:rsidRPr="00920B52">
        <w:rPr>
          <w:rFonts w:ascii="Times New Roman" w:hAnsi="Times New Roman" w:cs="Times New Roman"/>
          <w:b/>
          <w:bCs/>
          <w:sz w:val="24"/>
          <w:szCs w:val="24"/>
        </w:rPr>
        <w:t>ACCESO AL DESARROLLO DE MOLÉCULAS ANTIHIPERGLICEMIANTES Y SU FARMACOCINÉTICA EN LA COVID-19</w:t>
      </w:r>
    </w:p>
    <w:p w14:paraId="69AB3C1F" w14:textId="158919B5" w:rsidR="001E6DFB" w:rsidRDefault="009757D3" w:rsidP="0088788D">
      <w:pPr>
        <w:spacing w:line="240" w:lineRule="auto"/>
        <w:ind w:right="51"/>
        <w:jc w:val="center"/>
        <w:rPr>
          <w:rFonts w:ascii="Times New Roman" w:hAnsi="Times New Roman" w:cs="Times New Roman"/>
        </w:rPr>
      </w:pPr>
      <w:r>
        <w:rPr>
          <w:rFonts w:ascii="Times New Roman" w:hAnsi="Times New Roman" w:cs="Times New Roman"/>
        </w:rPr>
        <w:t>María del Carmen</w:t>
      </w:r>
      <w:r w:rsidR="00E61547">
        <w:rPr>
          <w:rFonts w:ascii="Times New Roman" w:hAnsi="Times New Roman" w:cs="Times New Roman"/>
        </w:rPr>
        <w:t xml:space="preserve"> Gómez Chávez</w:t>
      </w:r>
      <w:r>
        <w:rPr>
          <w:rFonts w:ascii="Times New Roman" w:hAnsi="Times New Roman" w:cs="Times New Roman"/>
          <w:color w:val="222222"/>
          <w:shd w:val="clear" w:color="auto" w:fill="FFFFFF"/>
          <w:vertAlign w:val="superscript"/>
        </w:rPr>
        <w:t xml:space="preserve"> </w:t>
      </w:r>
      <w:r w:rsidR="00091886">
        <w:rPr>
          <w:rFonts w:ascii="Times New Roman" w:hAnsi="Times New Roman" w:cs="Times New Roman"/>
          <w:color w:val="222222"/>
          <w:shd w:val="clear" w:color="auto" w:fill="FFFFFF"/>
          <w:vertAlign w:val="superscript"/>
        </w:rPr>
        <w:t>a</w:t>
      </w:r>
      <w:r w:rsidR="00091886" w:rsidRPr="00091886">
        <w:rPr>
          <w:rFonts w:ascii="Times New Roman" w:hAnsi="Times New Roman" w:cs="Times New Roman"/>
          <w:color w:val="222222"/>
          <w:shd w:val="clear" w:color="auto" w:fill="FFFFFF"/>
        </w:rPr>
        <w:t>,</w:t>
      </w:r>
      <w:r w:rsidR="001E6DFB">
        <w:rPr>
          <w:rFonts w:ascii="Times New Roman" w:hAnsi="Times New Roman" w:cs="Times New Roman"/>
          <w:color w:val="222222"/>
          <w:shd w:val="clear" w:color="auto" w:fill="FFFFFF"/>
        </w:rPr>
        <w:t xml:space="preserve"> Lucia Matilde Nava-Barrios </w:t>
      </w:r>
      <w:r w:rsidR="001E6DFB">
        <w:rPr>
          <w:rFonts w:ascii="Times New Roman" w:hAnsi="Times New Roman" w:cs="Times New Roman"/>
          <w:color w:val="222222"/>
          <w:shd w:val="clear" w:color="auto" w:fill="FFFFFF"/>
          <w:vertAlign w:val="superscript"/>
        </w:rPr>
        <w:t>a</w:t>
      </w:r>
      <w:r w:rsidR="001E6DFB">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Cesar R. Solorio-Alvarado </w:t>
      </w:r>
      <w:r w:rsidR="00091886">
        <w:rPr>
          <w:rFonts w:ascii="Times New Roman" w:hAnsi="Times New Roman" w:cs="Times New Roman"/>
          <w:color w:val="222222"/>
          <w:shd w:val="clear" w:color="auto" w:fill="FFFFFF"/>
          <w:vertAlign w:val="superscript"/>
        </w:rPr>
        <w:t>b</w:t>
      </w:r>
      <w:r w:rsidR="00091886" w:rsidRPr="00091886">
        <w:rPr>
          <w:rFonts w:ascii="Times New Roman" w:hAnsi="Times New Roman" w:cs="Times New Roman"/>
          <w:color w:val="222222"/>
          <w:shd w:val="clear" w:color="auto" w:fill="FFFFFF"/>
        </w:rPr>
        <w:t>, Rafael Ortiz-Alvarado</w:t>
      </w:r>
      <w:r w:rsidR="00091886">
        <w:rPr>
          <w:rFonts w:ascii="Times New Roman" w:hAnsi="Times New Roman" w:cs="Times New Roman"/>
          <w:color w:val="222222"/>
          <w:shd w:val="clear" w:color="auto" w:fill="FFFFFF"/>
        </w:rPr>
        <w:t xml:space="preserve"> </w:t>
      </w:r>
      <w:r w:rsidR="00EF341B">
        <w:rPr>
          <w:rFonts w:ascii="Times New Roman" w:hAnsi="Times New Roman" w:cs="Times New Roman"/>
          <w:vertAlign w:val="superscript"/>
        </w:rPr>
        <w:t>a</w:t>
      </w:r>
      <w:r w:rsidR="006541C1">
        <w:rPr>
          <w:rFonts w:ascii="Times New Roman" w:hAnsi="Times New Roman" w:cs="Times New Roman"/>
          <w:vertAlign w:val="superscript"/>
        </w:rPr>
        <w:t xml:space="preserve"> </w:t>
      </w:r>
      <w:r w:rsidR="0088788D">
        <w:rPr>
          <w:rFonts w:ascii="Times New Roman" w:hAnsi="Times New Roman" w:cs="Times New Roman"/>
        </w:rPr>
        <w:t xml:space="preserve">      </w:t>
      </w:r>
      <w:r>
        <w:rPr>
          <w:rFonts w:ascii="Times New Roman" w:hAnsi="Times New Roman" w:cs="Times New Roman"/>
        </w:rPr>
        <w:t xml:space="preserve">        </w:t>
      </w:r>
    </w:p>
    <w:p w14:paraId="04195157" w14:textId="2A49BB82" w:rsidR="0088788D" w:rsidRDefault="0088788D" w:rsidP="0088788D">
      <w:pPr>
        <w:spacing w:line="240" w:lineRule="auto"/>
        <w:ind w:right="51"/>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 xml:space="preserve">a </w:t>
      </w:r>
      <w:r w:rsidRPr="006A2C46">
        <w:rPr>
          <w:rFonts w:ascii="Times New Roman" w:hAnsi="Times New Roman" w:cs="Times New Roman"/>
        </w:rPr>
        <w:t>Facultad</w:t>
      </w:r>
      <w:r w:rsidR="00C20571" w:rsidRPr="00C20571">
        <w:rPr>
          <w:rFonts w:ascii="Times New Roman" w:hAnsi="Times New Roman" w:cs="Times New Roman"/>
        </w:rPr>
        <w:t xml:space="preserve"> de Químico Farmacobiología</w:t>
      </w:r>
      <w:r w:rsidR="006541C1" w:rsidRPr="00C20571">
        <w:rPr>
          <w:rFonts w:ascii="Times New Roman" w:hAnsi="Times New Roman" w:cs="Times New Roman"/>
        </w:rPr>
        <w:t>,</w:t>
      </w:r>
      <w:r w:rsidR="00C20571" w:rsidRPr="00C20571">
        <w:rPr>
          <w:rFonts w:ascii="Times New Roman" w:hAnsi="Times New Roman" w:cs="Times New Roman"/>
        </w:rPr>
        <w:t xml:space="preserve"> Universidad Michoacana de San Nicolás de Hidalgo, Calle Tzintzuntzan No. 173, Col., Matamoros, C.P. 58240.</w:t>
      </w:r>
      <w:r w:rsidR="009757D3">
        <w:rPr>
          <w:rFonts w:ascii="Times New Roman" w:hAnsi="Times New Roman" w:cs="Times New Roman"/>
        </w:rPr>
        <w:t xml:space="preserve"> </w:t>
      </w:r>
      <w:r w:rsidR="009757D3">
        <w:rPr>
          <w:rFonts w:ascii="Times New Roman" w:hAnsi="Times New Roman" w:cs="Times New Roman"/>
          <w:vertAlign w:val="superscript"/>
        </w:rPr>
        <w:t xml:space="preserve">b </w:t>
      </w:r>
      <w:r w:rsidR="009757D3" w:rsidRPr="0088788D">
        <w:rPr>
          <w:rFonts w:ascii="Times New Roman" w:hAnsi="Times New Roman" w:cs="Times New Roman"/>
        </w:rPr>
        <w:t>División de Ciencias Naturales y Exactas</w:t>
      </w:r>
      <w:r w:rsidR="009757D3">
        <w:rPr>
          <w:rFonts w:ascii="Times New Roman" w:hAnsi="Times New Roman" w:cs="Times New Roman"/>
        </w:rPr>
        <w:t xml:space="preserve">, Universidad de Guanajuato, </w:t>
      </w:r>
      <w:r w:rsidR="009757D3" w:rsidRPr="0088788D">
        <w:rPr>
          <w:rFonts w:ascii="Times New Roman" w:hAnsi="Times New Roman" w:cs="Times New Roman"/>
        </w:rPr>
        <w:t>Noria Alta S/N; C.P. 36050; Guanajuato, Gto</w:t>
      </w:r>
      <w:r w:rsidRPr="0088788D">
        <w:rPr>
          <w:rFonts w:ascii="Times New Roman" w:hAnsi="Times New Roman" w:cs="Times New Roman"/>
        </w:rPr>
        <w:t>.</w:t>
      </w:r>
    </w:p>
    <w:p w14:paraId="75ABF869" w14:textId="057AD8EF" w:rsidR="006541C1" w:rsidRPr="009757D3" w:rsidRDefault="00C20571" w:rsidP="009757D3">
      <w:pPr>
        <w:spacing w:line="360" w:lineRule="auto"/>
        <w:ind w:right="49"/>
        <w:jc w:val="center"/>
        <w:rPr>
          <w:rFonts w:ascii="Times New Roman" w:hAnsi="Times New Roman" w:cs="Times New Roman"/>
        </w:rPr>
      </w:pPr>
      <w:r w:rsidRPr="0088788D">
        <w:rPr>
          <w:rFonts w:ascii="Times New Roman" w:hAnsi="Times New Roman" w:cs="Times New Roman"/>
        </w:rPr>
        <w:t xml:space="preserve"> </w:t>
      </w:r>
      <w:hyperlink r:id="rId7" w:history="1">
        <w:r w:rsidRPr="00C20571">
          <w:rPr>
            <w:rStyle w:val="Hipervnculo"/>
            <w:rFonts w:ascii="Times New Roman" w:hAnsi="Times New Roman" w:cs="Times New Roman"/>
          </w:rPr>
          <w:t>rafael.ortiz@umich.mx</w:t>
        </w:r>
      </w:hyperlink>
      <w:r w:rsidR="0088788D">
        <w:rPr>
          <w:rFonts w:ascii="Times New Roman" w:hAnsi="Times New Roman" w:cs="Times New Roman"/>
        </w:rPr>
        <w:t xml:space="preserve">                  </w:t>
      </w:r>
      <w:r w:rsidRPr="00C20571">
        <w:rPr>
          <w:rFonts w:ascii="Times New Roman" w:hAnsi="Times New Roman" w:cs="Times New Roman"/>
        </w:rPr>
        <w:t xml:space="preserve"> </w:t>
      </w:r>
      <w:hyperlink r:id="rId8" w:history="1">
        <w:r w:rsidR="009757D3" w:rsidRPr="00611982">
          <w:rPr>
            <w:rStyle w:val="Hipervnculo"/>
            <w:rFonts w:ascii="Times New Roman" w:hAnsi="Times New Roman" w:cs="Times New Roman"/>
            <w:shd w:val="clear" w:color="auto" w:fill="FFFFFF"/>
          </w:rPr>
          <w:t>1800369a@umich.mx</w:t>
        </w:r>
      </w:hyperlink>
      <w:r w:rsidR="009757D3" w:rsidRPr="0066218A">
        <w:rPr>
          <w:rFonts w:ascii="Times New Roman" w:hAnsi="Times New Roman" w:cs="Times New Roman"/>
          <w:color w:val="5E5E5E"/>
          <w:shd w:val="clear" w:color="auto" w:fill="FFFFFF"/>
        </w:rPr>
        <w:t xml:space="preserve"> </w:t>
      </w:r>
    </w:p>
    <w:p w14:paraId="6165C369" w14:textId="77777777" w:rsidR="006541C1" w:rsidRPr="006A2C46" w:rsidRDefault="006541C1" w:rsidP="006541C1">
      <w:pPr>
        <w:spacing w:line="360" w:lineRule="auto"/>
        <w:ind w:right="49"/>
        <w:jc w:val="both"/>
        <w:rPr>
          <w:rFonts w:ascii="Times New Roman" w:hAnsi="Times New Roman" w:cs="Times New Roman"/>
          <w:b/>
          <w:bCs/>
        </w:rPr>
      </w:pPr>
      <w:r w:rsidRPr="006A2C46">
        <w:rPr>
          <w:rFonts w:ascii="Times New Roman" w:hAnsi="Times New Roman" w:cs="Times New Roman"/>
          <w:b/>
          <w:bCs/>
        </w:rPr>
        <w:t xml:space="preserve">Resumen </w:t>
      </w:r>
    </w:p>
    <w:p w14:paraId="0FCA7654" w14:textId="35228A6E" w:rsidR="00C20571" w:rsidRPr="00045210" w:rsidRDefault="009757D3" w:rsidP="00091886">
      <w:pPr>
        <w:spacing w:line="240" w:lineRule="auto"/>
        <w:jc w:val="both"/>
        <w:rPr>
          <w:rFonts w:ascii="Times New Roman" w:hAnsi="Times New Roman" w:cs="Times New Roman"/>
        </w:rPr>
      </w:pPr>
      <w:r w:rsidRPr="00045210">
        <w:rPr>
          <w:rFonts w:ascii="Times New Roman" w:hAnsi="Times New Roman" w:cs="Times New Roman"/>
          <w:lang w:val="es-ES_tradnl"/>
        </w:rPr>
        <w:t xml:space="preserve">La dinámica poblacional actual, ha permitido la rápida proliferación y diseminación de agentes infecciosos emergentes, los cuales, han causado una disrupción dentro de la inercia en la incidencia de enfermedades no infecciosas, como la diabetes mellitus (DM) y sus complicaciones, vasculares. La pandemia, provocada por el SARS-CoV-2 y su enfermedad la COVID-19; agravó la salud de personas diagnosticadas con DM, por lo que la terapéutica se volvió complicada. El presente trabajo de investigación aborda el uso de fármacos, ya desarrollados y probados previamente, en enfermedades emergentes y la presencia de patologías no infecciosas. Metodología. A través del uso de herramientas informáticas y bibliográficas especializadas, se generó una matriz respecto al tipo de fármaco utilizado para el tratamiento de la COVID-19, el éxito terapéutico, la supervivencia, costo y acceso a los fármacos en países, con sistemas de salud como el de México. Resultados. Se evidencio que las moléculas terapéuticas, como la dexametasona (antiinflamatorio, esteroideo) y la metformina (antihiperglicemiante, tipo </w:t>
      </w:r>
      <w:r w:rsidRPr="00045210">
        <w:rPr>
          <w:rFonts w:ascii="Times New Roman" w:hAnsi="Times New Roman" w:cs="Times New Roman"/>
          <w:color w:val="202124"/>
          <w:shd w:val="clear" w:color="auto" w:fill="FFFFFF"/>
        </w:rPr>
        <w:t>biguanidas), tienen un éxito terapéutico, efectivo en pacientes con COVID-19, así como el acceso adecuado dentro de los esquemas de atención médica de tipo primario hasta terciario, comparado con las moléculas novedosas con actividad antiviral, no  obstante estas no son de manera general las que tienen el mayor éxito terapéutico y el costo-terapéutico, limitan su acceso en el nivel de atención primario, por lo que urge un cambio en la estrategia para la atención de la COVID-19, considerando los aspectos inmunológicos previos del paciente, su estado de salud y el acceso farmacológico con vigilancia médica desde la atención primaria.</w:t>
      </w:r>
    </w:p>
    <w:p w14:paraId="4DCE6055" w14:textId="6CE0534C" w:rsidR="006541C1" w:rsidRPr="00920B52" w:rsidRDefault="006541C1" w:rsidP="006541C1">
      <w:pPr>
        <w:spacing w:line="360" w:lineRule="auto"/>
        <w:jc w:val="both"/>
        <w:rPr>
          <w:rFonts w:ascii="Times New Roman" w:hAnsi="Times New Roman" w:cs="Times New Roman"/>
          <w:i/>
          <w:iCs/>
          <w:sz w:val="24"/>
          <w:szCs w:val="24"/>
        </w:rPr>
      </w:pPr>
      <w:r w:rsidRPr="00920B52">
        <w:rPr>
          <w:rFonts w:ascii="Times New Roman" w:hAnsi="Times New Roman" w:cs="Times New Roman"/>
          <w:i/>
          <w:iCs/>
        </w:rPr>
        <w:t xml:space="preserve">Palabras clave: </w:t>
      </w:r>
      <w:r w:rsidR="00045210" w:rsidRPr="00920B52">
        <w:rPr>
          <w:rFonts w:ascii="Times New Roman" w:hAnsi="Times New Roman" w:cs="Times New Roman"/>
          <w:i/>
          <w:iCs/>
        </w:rPr>
        <w:t>Acceso a la Salud; SARS-CoV2; Diabetes Mellitus</w:t>
      </w:r>
      <w:r w:rsidR="00AF33BB" w:rsidRPr="00920B52">
        <w:rPr>
          <w:rFonts w:ascii="Times New Roman" w:hAnsi="Times New Roman" w:cs="Times New Roman"/>
          <w:i/>
          <w:iCs/>
        </w:rPr>
        <w:t>.</w:t>
      </w:r>
    </w:p>
    <w:p w14:paraId="62F61FAD" w14:textId="77777777" w:rsidR="00D162B6" w:rsidRDefault="00D162B6" w:rsidP="00D162B6">
      <w:pPr>
        <w:spacing w:line="240" w:lineRule="auto"/>
        <w:rPr>
          <w:rFonts w:ascii="Times New Roman" w:hAnsi="Times New Roman" w:cs="Times New Roman"/>
          <w:sz w:val="24"/>
          <w:szCs w:val="24"/>
        </w:rPr>
      </w:pPr>
    </w:p>
    <w:p w14:paraId="507BC8DD" w14:textId="77777777" w:rsidR="00D162B6" w:rsidRDefault="00D162B6" w:rsidP="00D162B6">
      <w:pPr>
        <w:spacing w:line="240" w:lineRule="auto"/>
        <w:rPr>
          <w:rFonts w:ascii="Times New Roman" w:hAnsi="Times New Roman" w:cs="Times New Roman"/>
          <w:b/>
          <w:bCs/>
          <w:sz w:val="24"/>
          <w:szCs w:val="24"/>
        </w:rPr>
      </w:pPr>
    </w:p>
    <w:p w14:paraId="1B21A9A4" w14:textId="77777777" w:rsidR="00D162B6" w:rsidRDefault="00D162B6" w:rsidP="00D162B6">
      <w:pPr>
        <w:spacing w:line="240" w:lineRule="auto"/>
        <w:rPr>
          <w:rFonts w:ascii="Times New Roman" w:hAnsi="Times New Roman" w:cs="Times New Roman"/>
          <w:b/>
          <w:bCs/>
          <w:sz w:val="24"/>
          <w:szCs w:val="24"/>
        </w:rPr>
      </w:pPr>
    </w:p>
    <w:p w14:paraId="4221FB0C" w14:textId="77777777" w:rsidR="00D162B6" w:rsidRDefault="00D162B6" w:rsidP="00D162B6">
      <w:pPr>
        <w:spacing w:line="240" w:lineRule="auto"/>
        <w:rPr>
          <w:rFonts w:ascii="Times New Roman" w:hAnsi="Times New Roman" w:cs="Times New Roman"/>
          <w:b/>
          <w:bCs/>
          <w:sz w:val="24"/>
          <w:szCs w:val="24"/>
        </w:rPr>
      </w:pPr>
    </w:p>
    <w:p w14:paraId="62306C68" w14:textId="77777777" w:rsidR="00D162B6" w:rsidRDefault="00D162B6" w:rsidP="00D162B6">
      <w:pPr>
        <w:spacing w:line="240" w:lineRule="auto"/>
        <w:rPr>
          <w:rFonts w:ascii="Times New Roman" w:hAnsi="Times New Roman" w:cs="Times New Roman"/>
          <w:b/>
          <w:bCs/>
          <w:sz w:val="24"/>
          <w:szCs w:val="24"/>
        </w:rPr>
      </w:pPr>
    </w:p>
    <w:p w14:paraId="1C2EDC58" w14:textId="77777777" w:rsidR="00D162B6" w:rsidRDefault="00D162B6" w:rsidP="00D162B6">
      <w:pPr>
        <w:spacing w:line="240" w:lineRule="auto"/>
        <w:rPr>
          <w:rFonts w:ascii="Times New Roman" w:hAnsi="Times New Roman" w:cs="Times New Roman"/>
          <w:b/>
          <w:bCs/>
          <w:sz w:val="24"/>
          <w:szCs w:val="24"/>
        </w:rPr>
      </w:pPr>
    </w:p>
    <w:p w14:paraId="2C61EC91" w14:textId="77777777" w:rsidR="00D162B6" w:rsidRDefault="00D162B6" w:rsidP="00D162B6">
      <w:pPr>
        <w:spacing w:line="240" w:lineRule="auto"/>
        <w:rPr>
          <w:rFonts w:ascii="Times New Roman" w:hAnsi="Times New Roman" w:cs="Times New Roman"/>
          <w:b/>
          <w:bCs/>
          <w:sz w:val="24"/>
          <w:szCs w:val="24"/>
        </w:rPr>
      </w:pPr>
    </w:p>
    <w:p w14:paraId="4C09A033" w14:textId="77777777" w:rsidR="00D162B6" w:rsidRDefault="00D162B6" w:rsidP="00D162B6">
      <w:pPr>
        <w:spacing w:line="240" w:lineRule="auto"/>
        <w:rPr>
          <w:rFonts w:ascii="Times New Roman" w:hAnsi="Times New Roman" w:cs="Times New Roman"/>
          <w:b/>
          <w:bCs/>
          <w:sz w:val="24"/>
          <w:szCs w:val="24"/>
        </w:rPr>
      </w:pPr>
    </w:p>
    <w:p w14:paraId="2CC6B89D" w14:textId="77777777" w:rsidR="00D162B6" w:rsidRDefault="00D162B6" w:rsidP="00D162B6">
      <w:pPr>
        <w:spacing w:line="240" w:lineRule="auto"/>
        <w:rPr>
          <w:rFonts w:ascii="Times New Roman" w:hAnsi="Times New Roman" w:cs="Times New Roman"/>
          <w:b/>
          <w:bCs/>
          <w:sz w:val="24"/>
          <w:szCs w:val="24"/>
        </w:rPr>
      </w:pPr>
    </w:p>
    <w:p w14:paraId="5A6AADEA" w14:textId="7982F1D2" w:rsidR="006541C1" w:rsidRPr="00831C17" w:rsidRDefault="006541C1" w:rsidP="00045210">
      <w:pPr>
        <w:spacing w:line="360" w:lineRule="auto"/>
        <w:jc w:val="both"/>
        <w:rPr>
          <w:rFonts w:ascii="Times New Roman" w:hAnsi="Times New Roman" w:cs="Times New Roman"/>
          <w:sz w:val="24"/>
          <w:szCs w:val="24"/>
        </w:rPr>
      </w:pPr>
      <w:r>
        <w:rPr>
          <w:rFonts w:ascii="Times New Roman" w:hAnsi="Times New Roman" w:cs="Times New Roman"/>
          <w:b/>
          <w:bCs/>
        </w:rPr>
        <w:lastRenderedPageBreak/>
        <w:t>Abstract</w:t>
      </w:r>
      <w:r w:rsidRPr="00831C17">
        <w:rPr>
          <w:rFonts w:ascii="Times New Roman" w:hAnsi="Times New Roman" w:cs="Times New Roman"/>
          <w:sz w:val="24"/>
          <w:szCs w:val="24"/>
        </w:rPr>
        <w:t xml:space="preserve"> </w:t>
      </w:r>
    </w:p>
    <w:p w14:paraId="6C540DF4" w14:textId="28AC4415" w:rsidR="00D162B6" w:rsidRPr="00EB3674" w:rsidRDefault="00045210" w:rsidP="00D162B6">
      <w:pPr>
        <w:spacing w:line="240" w:lineRule="auto"/>
        <w:jc w:val="both"/>
        <w:rPr>
          <w:rFonts w:ascii="Times New Roman" w:hAnsi="Times New Roman" w:cs="Times New Roman"/>
          <w:lang w:val="en-US"/>
        </w:rPr>
      </w:pPr>
      <w:r w:rsidRPr="00EC2F35">
        <w:rPr>
          <w:rFonts w:ascii="Times New Roman" w:hAnsi="Times New Roman" w:cs="Times New Roman"/>
          <w:lang w:val="en-US"/>
        </w:rPr>
        <w:t xml:space="preserve">The current population dynamics has allowed the rapid proliferation and dissemination of emerging infectious agents, which have caused a disruption within the inertia in the incidence of non-infectious diseases, such as diabetes mellitus (DM) and its vascular complications. The pandemic, caused by SARS-CoV-2 and its disease COVID-19; worsened the health of people diagnosed with DM, so therapeutics became complicated. This research work addresses the use of drugs, already developed and previously tested, in emerging diseases and the presence of non-infectious pathologies. Methodology. Through the use of specialized computer and bibliographic tools, a matrix was generated regarding the type of drug used for the treatment of COVID-19, therapeutic success, survival, cost and access to drugs in countries with health systems. like the one in Mexico. </w:t>
      </w:r>
      <w:r w:rsidRPr="00EB3674">
        <w:rPr>
          <w:rFonts w:ascii="Times New Roman" w:hAnsi="Times New Roman" w:cs="Times New Roman"/>
          <w:lang w:val="en-US"/>
        </w:rPr>
        <w:t>Results. It was shown that therapeutic molecules, such as dexamethasone (anti-inflammatory, steroid) and metformin (antihyperglycemic, biguanide type), have therapeutic success, are effective in patients with COVID-19, as well as adequate access within medical care schemes from primary to tertiary type, compared to novel molecules with antiviral activity, however, these are not generally the ones with the greatest therapeutic success and therapeutic cost, limiting their access at the primary care level, for which it is urgent a change in the strategy for the care of COVID-19, considering the previous immunological aspects of the patient, their health status and pharmacological access with medical surveillance from primary care.</w:t>
      </w:r>
    </w:p>
    <w:p w14:paraId="3C6A6A56" w14:textId="31908A77" w:rsidR="00045210" w:rsidRPr="00EB3674" w:rsidRDefault="006541C1" w:rsidP="006541C1">
      <w:pPr>
        <w:spacing w:line="360" w:lineRule="auto"/>
        <w:jc w:val="both"/>
        <w:rPr>
          <w:rFonts w:ascii="Times New Roman" w:hAnsi="Times New Roman" w:cs="Times New Roman"/>
          <w:i/>
          <w:iCs/>
          <w:lang w:val="en-US"/>
        </w:rPr>
      </w:pPr>
      <w:r w:rsidRPr="00EB3674">
        <w:rPr>
          <w:rFonts w:ascii="Times New Roman" w:hAnsi="Times New Roman" w:cs="Times New Roman"/>
          <w:i/>
          <w:iCs/>
          <w:lang w:val="en-US"/>
        </w:rPr>
        <w:t>Keywords:</w:t>
      </w:r>
      <w:r w:rsidR="00A4231E" w:rsidRPr="00EB3674">
        <w:rPr>
          <w:rFonts w:ascii="Times New Roman" w:hAnsi="Times New Roman" w:cs="Times New Roman"/>
          <w:lang w:val="en-US"/>
        </w:rPr>
        <w:t xml:space="preserve"> </w:t>
      </w:r>
      <w:r w:rsidR="00AF33BB" w:rsidRPr="00EB3674">
        <w:rPr>
          <w:rFonts w:ascii="Times New Roman" w:hAnsi="Times New Roman" w:cs="Times New Roman"/>
          <w:lang w:val="en-US"/>
        </w:rPr>
        <w:t xml:space="preserve"> </w:t>
      </w:r>
      <w:r w:rsidR="00045210" w:rsidRPr="00EB3674">
        <w:rPr>
          <w:rFonts w:ascii="Times New Roman" w:hAnsi="Times New Roman" w:cs="Times New Roman"/>
          <w:i/>
          <w:iCs/>
          <w:lang w:val="en-US"/>
        </w:rPr>
        <w:t>Acces to Health; SARS-CoV-2; COVID-19, Diabetes Mellitu</w:t>
      </w:r>
      <w:r w:rsidR="001E6DFB" w:rsidRPr="00EB3674">
        <w:rPr>
          <w:rFonts w:ascii="Times New Roman" w:hAnsi="Times New Roman" w:cs="Times New Roman"/>
          <w:i/>
          <w:iCs/>
          <w:lang w:val="en-US"/>
        </w:rPr>
        <w:t>s</w:t>
      </w:r>
    </w:p>
    <w:p w14:paraId="03D2A50A" w14:textId="597E33EA" w:rsidR="00A4231E" w:rsidRPr="00A4231E"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sidRPr="7CC131D3">
        <w:rPr>
          <w:rFonts w:ascii="Times New Roman" w:eastAsia="Times New Roman" w:hAnsi="Times New Roman" w:cs="Times New Roman"/>
          <w:b/>
          <w:bCs/>
          <w:color w:val="000000" w:themeColor="text1"/>
          <w:sz w:val="24"/>
          <w:szCs w:val="24"/>
          <w:lang w:val="es-ES" w:eastAsia="es-ES"/>
        </w:rPr>
        <w:t>1. Introducción</w:t>
      </w:r>
    </w:p>
    <w:p w14:paraId="7610FD21" w14:textId="77777777" w:rsidR="00FE62BF" w:rsidRDefault="00FE62BF" w:rsidP="006541C1">
      <w:pPr>
        <w:spacing w:line="360" w:lineRule="auto"/>
        <w:jc w:val="both"/>
        <w:rPr>
          <w:rFonts w:ascii="Times New Roman" w:hAnsi="Times New Roman"/>
          <w:sz w:val="24"/>
          <w:szCs w:val="24"/>
        </w:rPr>
        <w:sectPr w:rsidR="00FE62BF">
          <w:headerReference w:type="default" r:id="rId9"/>
          <w:footerReference w:type="default" r:id="rId10"/>
          <w:pgSz w:w="12240" w:h="15840"/>
          <w:pgMar w:top="1417" w:right="1701" w:bottom="1417" w:left="1701" w:header="708" w:footer="708" w:gutter="0"/>
          <w:cols w:space="708"/>
          <w:docGrid w:linePitch="360"/>
        </w:sectPr>
      </w:pPr>
    </w:p>
    <w:p w14:paraId="2F183450" w14:textId="6A36451A" w:rsidR="009757D3" w:rsidRPr="004E59F1" w:rsidRDefault="009757D3" w:rsidP="009757D3">
      <w:pPr>
        <w:spacing w:line="240" w:lineRule="auto"/>
        <w:jc w:val="both"/>
        <w:rPr>
          <w:rFonts w:ascii="Times New Roman" w:hAnsi="Times New Roman"/>
        </w:rPr>
      </w:pPr>
      <w:r w:rsidRPr="009757D3">
        <w:rPr>
          <w:rFonts w:ascii="Times New Roman" w:hAnsi="Times New Roman"/>
        </w:rPr>
        <w:t>La dinámica poblacional actual, ha permitido la rápida proliferación y diseminación de agentes infecciosos emergentes, los cuales, han causado una disrupción dentro de la inercia en la incidencia de enfermedades no infecciosas, como la diabetes mellitus (DM) y sus complicaciones, vasculares</w:t>
      </w:r>
      <w:r w:rsidR="004E59F1">
        <w:rPr>
          <w:rFonts w:ascii="Times New Roman" w:hAnsi="Times New Roman"/>
        </w:rPr>
        <w:t xml:space="preserve"> (Javelot, 2020)</w:t>
      </w:r>
      <w:r w:rsidRPr="009757D3">
        <w:rPr>
          <w:rFonts w:ascii="Times New Roman" w:hAnsi="Times New Roman"/>
        </w:rPr>
        <w:t>. La pandemia, provocada por el SARS-CoV-2 y su enfermedad la COVID-19. La pandemia, provocada por el SARS-CoV-2 y su enfermedad la COVID-19; agravó la salud de personas diagnosticadas con DM, por lo que la terapéutica se volvió complicada</w:t>
      </w:r>
      <w:r w:rsidR="004E59F1">
        <w:rPr>
          <w:rFonts w:ascii="Times New Roman" w:hAnsi="Times New Roman"/>
        </w:rPr>
        <w:t xml:space="preserve"> (Atkins, 2020, Ejaz, 2020)</w:t>
      </w:r>
      <w:r w:rsidRPr="009757D3">
        <w:rPr>
          <w:rFonts w:ascii="Times New Roman" w:hAnsi="Times New Roman"/>
        </w:rPr>
        <w:t>.</w:t>
      </w:r>
      <w:r w:rsidR="004E59F1">
        <w:rPr>
          <w:rFonts w:ascii="Times New Roman" w:hAnsi="Times New Roman"/>
        </w:rPr>
        <w:t xml:space="preserve"> </w:t>
      </w:r>
      <w:r w:rsidRPr="009757D3">
        <w:rPr>
          <w:rFonts w:ascii="Times New Roman" w:hAnsi="Times New Roman"/>
        </w:rPr>
        <w:t>La Diabetes Mellitus tipo II (DM2) es una enfermedad crónico-degenerativa caracterizada por el aumento de marcadores glucémicos. Con diferentes complicaciones en diferentes sistemas, como el vascular, inmunológica, metabólica, neurovascular, renal, hepática,</w:t>
      </w:r>
      <w:r w:rsidR="008252BA">
        <w:rPr>
          <w:rFonts w:ascii="Times New Roman" w:hAnsi="Times New Roman"/>
        </w:rPr>
        <w:t xml:space="preserve"> (Lima-Martínez, 2021)</w:t>
      </w:r>
      <w:r w:rsidRPr="009757D3">
        <w:rPr>
          <w:rFonts w:ascii="Times New Roman" w:hAnsi="Times New Roman"/>
        </w:rPr>
        <w:t xml:space="preserve"> Fig</w:t>
      </w:r>
      <w:r>
        <w:rPr>
          <w:rFonts w:ascii="Times New Roman" w:hAnsi="Times New Roman"/>
        </w:rPr>
        <w:t>ura 1</w:t>
      </w:r>
      <w:r w:rsidR="00376025">
        <w:rPr>
          <w:rFonts w:ascii="Times New Roman" w:hAnsi="Times New Roman" w:cs="Times New Roman"/>
        </w:rPr>
        <w:t>.</w:t>
      </w:r>
      <w:r>
        <w:rPr>
          <w:rFonts w:ascii="Times New Roman" w:hAnsi="Times New Roman" w:cs="Times New Roman"/>
        </w:rPr>
        <w:t xml:space="preserve"> </w:t>
      </w:r>
      <w:r w:rsidRPr="009757D3">
        <w:rPr>
          <w:rFonts w:ascii="Times New Roman" w:hAnsi="Times New Roman" w:cs="Times New Roman"/>
        </w:rPr>
        <w:t xml:space="preserve">La Diabetes Mellitus (DM) es una condición agravante de la complicaciones infecciosas, entre ellas la Covid-19, esto explicado en parte porque, la  DM tiene como sistema orgánico mayormente </w:t>
      </w:r>
      <w:r w:rsidRPr="009757D3">
        <w:rPr>
          <w:rFonts w:ascii="Times New Roman" w:hAnsi="Times New Roman" w:cs="Times New Roman"/>
        </w:rPr>
        <w:t xml:space="preserve">comprometido al sistema vascular, el cual es reactivo a los aspectos fisiológicos como a los patológicos como la </w:t>
      </w:r>
      <w:r w:rsidR="008252BA">
        <w:rPr>
          <w:rFonts w:ascii="Times New Roman" w:hAnsi="Times New Roman" w:cs="Times New Roman"/>
        </w:rPr>
        <w:t>h</w:t>
      </w:r>
      <w:r w:rsidRPr="009757D3">
        <w:rPr>
          <w:rFonts w:ascii="Times New Roman" w:hAnsi="Times New Roman" w:cs="Times New Roman"/>
        </w:rPr>
        <w:t>emodinamia, que afectan a los fenómenos que dependen del gasto cardiaco, en los órganos de mayor demanda metabólica, como: sistema cardiaco, pulmonar, renal, hepático  y coagulación sanguínea, Sistemas que se ven mayormente comprometidos en la Covid-19</w:t>
      </w:r>
      <w:r w:rsidR="008252BA">
        <w:rPr>
          <w:rFonts w:ascii="Times New Roman" w:hAnsi="Times New Roman" w:cs="Times New Roman"/>
        </w:rPr>
        <w:t xml:space="preserve"> (Siddiqi, 2020)</w:t>
      </w:r>
      <w:r w:rsidRPr="009757D3">
        <w:rPr>
          <w:rFonts w:ascii="Times New Roman" w:hAnsi="Times New Roman" w:cs="Times New Roman"/>
        </w:rPr>
        <w:t>.</w:t>
      </w:r>
    </w:p>
    <w:p w14:paraId="4CE05013" w14:textId="1D1AD4C6" w:rsidR="00A4231E" w:rsidRPr="009757D3" w:rsidRDefault="009757D3" w:rsidP="009757D3">
      <w:pPr>
        <w:spacing w:line="240" w:lineRule="auto"/>
        <w:jc w:val="both"/>
        <w:rPr>
          <w:rFonts w:ascii="Times New Roman" w:hAnsi="Times New Roman" w:cs="Times New Roman"/>
        </w:rPr>
        <w:sectPr w:rsidR="00A4231E" w:rsidRPr="009757D3" w:rsidSect="00FE62BF">
          <w:type w:val="continuous"/>
          <w:pgSz w:w="12240" w:h="15840"/>
          <w:pgMar w:top="1417" w:right="1701" w:bottom="1417" w:left="1701" w:header="708" w:footer="708" w:gutter="0"/>
          <w:cols w:num="2" w:space="708"/>
          <w:docGrid w:linePitch="360"/>
        </w:sectPr>
      </w:pPr>
      <w:r w:rsidRPr="009757D3">
        <w:rPr>
          <w:rFonts w:ascii="Times New Roman" w:hAnsi="Times New Roman" w:cs="Times New Roman"/>
        </w:rPr>
        <w:t>El SARS-CoV-2 tiene diversas particularidades que le permiten infectar y propagarse con una relativa facilidad entre los seres humanos</w:t>
      </w:r>
      <w:r w:rsidR="008252BA">
        <w:rPr>
          <w:rFonts w:ascii="Times New Roman" w:hAnsi="Times New Roman" w:cs="Times New Roman"/>
        </w:rPr>
        <w:t xml:space="preserve"> (Harrison, 2020)</w:t>
      </w:r>
      <w:r w:rsidRPr="009757D3">
        <w:rPr>
          <w:rFonts w:ascii="Times New Roman" w:hAnsi="Times New Roman" w:cs="Times New Roman"/>
        </w:rPr>
        <w:t xml:space="preserve">. Para tratar de entender las peculiaridades del presente virus pandémico, es necesario tener como antecedente que se presentó un brote infeccioso por el SARS-CoV, un coronavirus que provocó un brote pequeño en 2003, que fue controlado y eliminado en la región asiática de Taiwán, en Julio del 2003, como lo reportó en su momento la Organización Mundial de la Salud (OMS). El SARS-CoV y el SARS-CoV-2, se propagan de una manera diferente aun cuando utilizan el mismo </w:t>
      </w:r>
      <w:r w:rsidRPr="009757D3">
        <w:rPr>
          <w:rFonts w:ascii="Times New Roman" w:hAnsi="Times New Roman" w:cs="Times New Roman"/>
        </w:rPr>
        <w:lastRenderedPageBreak/>
        <w:t>receptor: la Enzima Convertidora de Angiotensina 2 (ACE2), que es una enzima expresada en las membranas celulares de los órganos y sistemas con mayor gasto cardiaco como son los pulmones, las arterias, vasos capilares, tejido cardiaco, los riñones y los intestinos</w:t>
      </w:r>
      <w:r w:rsidR="004E59F1">
        <w:rPr>
          <w:rFonts w:ascii="Times New Roman" w:hAnsi="Times New Roman" w:cs="Times New Roman"/>
        </w:rPr>
        <w:t xml:space="preserve"> (Scialo, 2020)</w:t>
      </w:r>
      <w:r w:rsidRPr="009757D3">
        <w:rPr>
          <w:rFonts w:ascii="Times New Roman" w:hAnsi="Times New Roman" w:cs="Times New Roman"/>
        </w:rPr>
        <w:t>.</w:t>
      </w:r>
      <w:r>
        <w:rPr>
          <w:rFonts w:ascii="Times New Roman" w:hAnsi="Times New Roman" w:cs="Times New Roman"/>
        </w:rPr>
        <w:t xml:space="preserve"> </w:t>
      </w:r>
      <w:r w:rsidRPr="009757D3">
        <w:rPr>
          <w:rFonts w:ascii="Times New Roman" w:hAnsi="Times New Roman" w:cs="Times New Roman"/>
        </w:rPr>
        <w:t xml:space="preserve">Ante el cual no se contaban con herramientas terapéuticas efectivas por lo que se tuvieron que utilizar herramientas farmacológicas ya probadas ante </w:t>
      </w:r>
      <w:r w:rsidRPr="009757D3">
        <w:rPr>
          <w:rFonts w:ascii="Times New Roman" w:hAnsi="Times New Roman" w:cs="Times New Roman"/>
        </w:rPr>
        <w:t>otras, patologías no infecciosas, que buscaron aumentar el bienestar del paciente</w:t>
      </w:r>
      <w:r w:rsidR="004E59F1">
        <w:rPr>
          <w:rFonts w:ascii="Times New Roman" w:hAnsi="Times New Roman" w:cs="Times New Roman"/>
        </w:rPr>
        <w:t xml:space="preserve"> (</w:t>
      </w:r>
      <w:r w:rsidR="004E59F1" w:rsidRPr="004E59F1">
        <w:rPr>
          <w:rFonts w:ascii="Times New Roman" w:hAnsi="Times New Roman" w:cs="Times New Roman"/>
        </w:rPr>
        <w:t>Trougakos</w:t>
      </w:r>
      <w:r w:rsidR="004E59F1">
        <w:rPr>
          <w:rFonts w:ascii="Times New Roman" w:hAnsi="Times New Roman" w:cs="Times New Roman"/>
        </w:rPr>
        <w:t>, 2021)</w:t>
      </w:r>
      <w:r>
        <w:rPr>
          <w:rFonts w:ascii="Times New Roman" w:hAnsi="Times New Roman" w:cs="Times New Roman"/>
        </w:rPr>
        <w:t>. El objetivo del presente trabajo es c</w:t>
      </w:r>
      <w:r w:rsidRPr="009757D3">
        <w:rPr>
          <w:rFonts w:ascii="Times New Roman" w:hAnsi="Times New Roman" w:cs="Times New Roman"/>
        </w:rPr>
        <w:t>omprender los mecanismos moleculares y celulares que dan fundamento a la utilización de moléculas farmacológicas ya aprobadas en otras patologías, frente al proceso infeccioso emergente, por SARS-CoV-2 cuya manifestación clínica es la Covid-19</w:t>
      </w:r>
      <w:r w:rsidR="008252BA">
        <w:rPr>
          <w:rFonts w:ascii="Times New Roman" w:hAnsi="Times New Roman" w:cs="Times New Roman"/>
        </w:rPr>
        <w:t>.</w:t>
      </w:r>
    </w:p>
    <w:p w14:paraId="546CD95E" w14:textId="77777777" w:rsidR="00A4231E" w:rsidRPr="00C20EE7" w:rsidRDefault="00A4231E" w:rsidP="00C20EE7">
      <w:pPr>
        <w:spacing w:line="240" w:lineRule="auto"/>
        <w:jc w:val="both"/>
        <w:rPr>
          <w:rFonts w:ascii="Times New Roman" w:hAnsi="Times New Roman"/>
        </w:rPr>
        <w:sectPr w:rsidR="00A4231E" w:rsidRPr="00C20EE7" w:rsidSect="00A4231E">
          <w:type w:val="continuous"/>
          <w:pgSz w:w="12240" w:h="15840"/>
          <w:pgMar w:top="1417" w:right="1701" w:bottom="1417" w:left="1701" w:header="708" w:footer="708" w:gutter="0"/>
          <w:cols w:num="2" w:space="708"/>
          <w:docGrid w:linePitch="360"/>
        </w:sectPr>
      </w:pPr>
    </w:p>
    <w:p w14:paraId="131522BF" w14:textId="3739D19E" w:rsidR="006541C1" w:rsidRPr="0088788D" w:rsidRDefault="006541C1" w:rsidP="00C20EE7">
      <w:pPr>
        <w:spacing w:line="240" w:lineRule="auto"/>
        <w:jc w:val="both"/>
        <w:rPr>
          <w:rFonts w:ascii="Times New Roman" w:eastAsia="Times New Roman" w:hAnsi="Times New Roman" w:cs="Times New Roman"/>
          <w:b/>
          <w:bCs/>
          <w:color w:val="000000"/>
          <w:sz w:val="24"/>
          <w:szCs w:val="24"/>
          <w:lang w:val="es-ES" w:eastAsia="es-ES"/>
        </w:rPr>
      </w:pPr>
      <w:r w:rsidRPr="0088788D">
        <w:rPr>
          <w:rFonts w:ascii="Times New Roman" w:eastAsia="Times New Roman" w:hAnsi="Times New Roman" w:cs="Times New Roman"/>
          <w:b/>
          <w:bCs/>
          <w:color w:val="000000" w:themeColor="text1"/>
          <w:sz w:val="24"/>
          <w:szCs w:val="24"/>
          <w:lang w:val="es-ES" w:eastAsia="es-ES"/>
        </w:rPr>
        <w:t xml:space="preserve">2. </w:t>
      </w:r>
      <w:r w:rsidR="00FE62BF" w:rsidRPr="0088788D">
        <w:rPr>
          <w:rFonts w:ascii="Times New Roman" w:eastAsia="Times New Roman" w:hAnsi="Times New Roman" w:cs="Times New Roman"/>
          <w:b/>
          <w:bCs/>
          <w:color w:val="000000" w:themeColor="text1"/>
          <w:sz w:val="24"/>
          <w:szCs w:val="24"/>
          <w:lang w:val="es-ES" w:eastAsia="es-ES"/>
        </w:rPr>
        <w:t>Material y Métodos</w:t>
      </w:r>
    </w:p>
    <w:p w14:paraId="18E02BC6" w14:textId="77777777" w:rsidR="008C19AF" w:rsidRPr="00C20EE7" w:rsidRDefault="008C19AF" w:rsidP="00C20EE7">
      <w:pPr>
        <w:spacing w:line="240" w:lineRule="auto"/>
        <w:jc w:val="both"/>
        <w:rPr>
          <w:rFonts w:ascii="Times New Roman" w:hAnsi="Times New Roman" w:cs="Times New Roman"/>
        </w:rPr>
        <w:sectPr w:rsidR="008C19AF" w:rsidRPr="00C20EE7" w:rsidSect="00A4231E">
          <w:type w:val="continuous"/>
          <w:pgSz w:w="12240" w:h="15840"/>
          <w:pgMar w:top="1417" w:right="1701" w:bottom="1417" w:left="1701" w:header="708" w:footer="708" w:gutter="0"/>
          <w:cols w:space="708"/>
          <w:docGrid w:linePitch="360"/>
        </w:sectPr>
      </w:pPr>
    </w:p>
    <w:p w14:paraId="6AFBFC9B" w14:textId="0DC8114F" w:rsidR="00376025" w:rsidRPr="00376025" w:rsidRDefault="009757D3" w:rsidP="001D0B61">
      <w:pPr>
        <w:spacing w:line="240" w:lineRule="auto"/>
        <w:jc w:val="both"/>
        <w:rPr>
          <w:rFonts w:ascii="Times New Roman" w:hAnsi="Times New Roman" w:cs="Times New Roman"/>
        </w:rPr>
        <w:sectPr w:rsidR="00376025" w:rsidRPr="00376025" w:rsidSect="008C19AF">
          <w:type w:val="continuous"/>
          <w:pgSz w:w="12240" w:h="15840"/>
          <w:pgMar w:top="1417" w:right="1701" w:bottom="1417" w:left="1701" w:header="708" w:footer="708" w:gutter="0"/>
          <w:cols w:num="2" w:space="708"/>
          <w:docGrid w:linePitch="360"/>
        </w:sectPr>
      </w:pPr>
      <w:r w:rsidRPr="009757D3">
        <w:rPr>
          <w:rFonts w:ascii="Times New Roman" w:hAnsi="Times New Roman" w:cs="Times New Roman"/>
        </w:rPr>
        <w:t xml:space="preserve">Se utilizó un enfoque transdisciplinar y epistemológico, en el contexto Histórico Social de Lev Semiónovich Vygotsk, se aborda la problemática de Salud denominada Pandemia por el SARS-CoV-2, abordando desde un aspecto comparativo el contexto de la pandemia del Covid-19 y la Peste Negra del siglo XIV, utilizando los hechos históricos y los conocimientos científicos, abarcando asuntos relacionados con las actividades científicas y el proceso investigativo de aplicación del método científico, se utilizaron herramientas que incluyeron revisión </w:t>
      </w:r>
      <w:r w:rsidRPr="009757D3">
        <w:rPr>
          <w:rFonts w:ascii="Times New Roman" w:hAnsi="Times New Roman" w:cs="Times New Roman"/>
        </w:rPr>
        <w:t>exhaustiva en plataformas científicas, que mostraron el crecimiento exponencial de la literatura científica y la teoría de redes aplicada a los estudios cuantitativos sobre las citas entre los artículos científicos referentes a aspectos de salud y pandemia, aplicando el modelo de teoría de redes  de Herbert Simon  y Derek John de Solla Price</w:t>
      </w:r>
      <w:r w:rsidR="004E59F1">
        <w:rPr>
          <w:rFonts w:ascii="Times New Roman" w:hAnsi="Times New Roman" w:cs="Times New Roman"/>
        </w:rPr>
        <w:t xml:space="preserve"> (</w:t>
      </w:r>
      <w:r w:rsidR="008252BA" w:rsidRPr="008252BA">
        <w:rPr>
          <w:rFonts w:ascii="Times New Roman" w:hAnsi="Times New Roman" w:cs="Times New Roman"/>
        </w:rPr>
        <w:t>Schubert</w:t>
      </w:r>
      <w:r w:rsidR="008252BA">
        <w:rPr>
          <w:rFonts w:ascii="Times New Roman" w:hAnsi="Times New Roman" w:cs="Times New Roman"/>
        </w:rPr>
        <w:t>, 2015</w:t>
      </w:r>
      <w:r w:rsidR="004E59F1">
        <w:rPr>
          <w:rFonts w:ascii="Times New Roman" w:hAnsi="Times New Roman" w:cs="Times New Roman"/>
        </w:rPr>
        <w:t xml:space="preserve">) </w:t>
      </w:r>
      <w:r w:rsidRPr="009757D3">
        <w:rPr>
          <w:rFonts w:ascii="Times New Roman" w:hAnsi="Times New Roman" w:cs="Times New Roman"/>
        </w:rPr>
        <w:t>. Que permita la clasificación de Medicamentos de acuerdo a su actividad Farmacológica especifica en pacientes sin comorbilidades y comorbilidades, para la Covid-19</w:t>
      </w:r>
      <w:r w:rsidR="001D0B61">
        <w:rPr>
          <w:rFonts w:ascii="Times New Roman" w:hAnsi="Times New Roman" w:cs="Times New Roman"/>
        </w:rPr>
        <w:t>.</w:t>
      </w:r>
    </w:p>
    <w:p w14:paraId="31704F24" w14:textId="77777777" w:rsidR="0088788D" w:rsidRDefault="0088788D" w:rsidP="00C20EE7">
      <w:pPr>
        <w:spacing w:line="240" w:lineRule="auto"/>
        <w:jc w:val="both"/>
        <w:rPr>
          <w:rFonts w:ascii="Times New Roman" w:eastAsia="Times New Roman" w:hAnsi="Times New Roman" w:cs="Times New Roman"/>
          <w:b/>
          <w:bCs/>
          <w:color w:val="000000" w:themeColor="text1"/>
          <w:lang w:val="es-ES" w:eastAsia="es-ES"/>
        </w:rPr>
      </w:pPr>
    </w:p>
    <w:p w14:paraId="6180274D" w14:textId="61CDDBA6" w:rsidR="008C19AF" w:rsidRPr="0088788D" w:rsidRDefault="008C19AF" w:rsidP="00C20EE7">
      <w:pPr>
        <w:spacing w:line="240" w:lineRule="auto"/>
        <w:jc w:val="both"/>
        <w:rPr>
          <w:rFonts w:ascii="Times New Roman" w:eastAsia="Times New Roman" w:hAnsi="Times New Roman" w:cs="Times New Roman"/>
          <w:b/>
          <w:bCs/>
          <w:color w:val="000000" w:themeColor="text1"/>
          <w:sz w:val="24"/>
          <w:szCs w:val="24"/>
          <w:lang w:val="es-ES" w:eastAsia="es-ES"/>
        </w:rPr>
      </w:pPr>
      <w:r w:rsidRPr="0088788D">
        <w:rPr>
          <w:rFonts w:ascii="Times New Roman" w:eastAsia="Times New Roman" w:hAnsi="Times New Roman" w:cs="Times New Roman"/>
          <w:b/>
          <w:bCs/>
          <w:color w:val="000000" w:themeColor="text1"/>
          <w:sz w:val="24"/>
          <w:szCs w:val="24"/>
          <w:lang w:val="es-ES" w:eastAsia="es-ES"/>
        </w:rPr>
        <w:t>3. Resultados</w:t>
      </w:r>
    </w:p>
    <w:p w14:paraId="4D2F0F66" w14:textId="1EBD1BE0" w:rsidR="009757D3" w:rsidRPr="009757D3" w:rsidRDefault="009757D3" w:rsidP="009757D3">
      <w:pPr>
        <w:spacing w:line="240" w:lineRule="auto"/>
        <w:jc w:val="both"/>
        <w:rPr>
          <w:rFonts w:ascii="Times New Roman" w:eastAsia="Times New Roman" w:hAnsi="Times New Roman" w:cs="Times New Roman"/>
          <w:color w:val="000000" w:themeColor="text1"/>
          <w:lang w:val="es-ES" w:eastAsia="es-ES"/>
        </w:rPr>
      </w:pPr>
      <w:r w:rsidRPr="009757D3">
        <w:rPr>
          <w:rFonts w:ascii="Times New Roman" w:eastAsia="Times New Roman" w:hAnsi="Times New Roman" w:cs="Times New Roman"/>
          <w:color w:val="000000" w:themeColor="text1"/>
          <w:lang w:val="es-ES" w:eastAsia="es-ES"/>
        </w:rPr>
        <w:t xml:space="preserve">Se encontraron que los tratamientos específicos de tipo antiviral e inmunológicos, no exitían, para el tratamiento de la Covid-19, sea en pacientes con comorbilidades y sin comorbilidades, encontrando que el tratamiento antiviral recomendado según la OMS y con autorización de la FDA, es el remdisivir, el cual es antiviral diseñado para virus como el ébola, el cual tiene protección por patente con un  costo elevado, efectividad antiviral baja menor al 47%, diseño inicial contra otros procesos infecciosos (ebola) no, es específico para </w:t>
      </w:r>
      <w:r w:rsidR="005174F5" w:rsidRPr="009757D3">
        <w:rPr>
          <w:rFonts w:ascii="Times New Roman" w:eastAsia="Times New Roman" w:hAnsi="Times New Roman" w:cs="Times New Roman"/>
          <w:color w:val="000000" w:themeColor="text1"/>
          <w:lang w:val="es-ES" w:eastAsia="es-ES"/>
        </w:rPr>
        <w:t>S</w:t>
      </w:r>
      <w:r w:rsidR="005174F5">
        <w:rPr>
          <w:rFonts w:ascii="Times New Roman" w:eastAsia="Times New Roman" w:hAnsi="Times New Roman" w:cs="Times New Roman"/>
          <w:color w:val="000000" w:themeColor="text1"/>
          <w:lang w:val="es-ES" w:eastAsia="es-ES"/>
        </w:rPr>
        <w:t>ARS</w:t>
      </w:r>
      <w:r w:rsidR="005174F5" w:rsidRPr="009757D3">
        <w:rPr>
          <w:rFonts w:ascii="Times New Roman" w:eastAsia="Times New Roman" w:hAnsi="Times New Roman" w:cs="Times New Roman"/>
          <w:color w:val="000000" w:themeColor="text1"/>
          <w:lang w:val="es-ES" w:eastAsia="es-ES"/>
        </w:rPr>
        <w:t>-Co</w:t>
      </w:r>
      <w:r w:rsidR="005174F5">
        <w:rPr>
          <w:rFonts w:ascii="Times New Roman" w:eastAsia="Times New Roman" w:hAnsi="Times New Roman" w:cs="Times New Roman"/>
          <w:color w:val="000000" w:themeColor="text1"/>
          <w:lang w:val="es-ES" w:eastAsia="es-ES"/>
        </w:rPr>
        <w:t>v</w:t>
      </w:r>
      <w:r w:rsidR="005174F5" w:rsidRPr="009757D3">
        <w:rPr>
          <w:rFonts w:ascii="Times New Roman" w:eastAsia="Times New Roman" w:hAnsi="Times New Roman" w:cs="Times New Roman"/>
          <w:color w:val="000000" w:themeColor="text1"/>
          <w:lang w:val="es-ES" w:eastAsia="es-ES"/>
        </w:rPr>
        <w:t>-2</w:t>
      </w:r>
      <w:r w:rsidRPr="009757D3">
        <w:rPr>
          <w:rFonts w:ascii="Times New Roman" w:eastAsia="Times New Roman" w:hAnsi="Times New Roman" w:cs="Times New Roman"/>
          <w:color w:val="000000" w:themeColor="text1"/>
          <w:lang w:val="es-ES" w:eastAsia="es-ES"/>
        </w:rPr>
        <w:t>,  contra-inidcaciones en daño renal y hepático, contra los sistemas de citocromo (CYP 450, CYP2c8, CYP2d6 y CYP3a4), humanos.</w:t>
      </w:r>
    </w:p>
    <w:p w14:paraId="2C6A8D7E" w14:textId="77777777" w:rsidR="009757D3" w:rsidRPr="009757D3" w:rsidRDefault="009757D3" w:rsidP="009757D3">
      <w:pPr>
        <w:spacing w:line="240" w:lineRule="auto"/>
        <w:jc w:val="both"/>
        <w:rPr>
          <w:rFonts w:ascii="Times New Roman" w:eastAsia="Times New Roman" w:hAnsi="Times New Roman" w:cs="Times New Roman"/>
          <w:color w:val="000000" w:themeColor="text1"/>
          <w:lang w:val="es-ES" w:eastAsia="es-ES"/>
        </w:rPr>
      </w:pPr>
    </w:p>
    <w:p w14:paraId="7AAF5259" w14:textId="763FEBAB" w:rsidR="00694E45" w:rsidRDefault="009757D3" w:rsidP="009757D3">
      <w:pPr>
        <w:spacing w:line="240" w:lineRule="auto"/>
        <w:jc w:val="both"/>
        <w:rPr>
          <w:rFonts w:ascii="Times New Roman" w:hAnsi="Times New Roman" w:cs="Times New Roman"/>
        </w:rPr>
      </w:pPr>
      <w:r w:rsidRPr="009757D3">
        <w:rPr>
          <w:rFonts w:ascii="Times New Roman" w:eastAsia="Times New Roman" w:hAnsi="Times New Roman" w:cs="Times New Roman"/>
          <w:color w:val="000000" w:themeColor="text1"/>
          <w:lang w:val="es-ES" w:eastAsia="es-ES"/>
        </w:rPr>
        <w:t>Por lo tanto, el condensado de su uso se puede encontrar en la siguiente Tabla 1</w:t>
      </w:r>
      <w:r w:rsidR="000A01A8">
        <w:rPr>
          <w:rFonts w:ascii="Times New Roman" w:hAnsi="Times New Roman" w:cs="Times New Roman"/>
        </w:rPr>
        <w:t>.</w:t>
      </w:r>
    </w:p>
    <w:p w14:paraId="119B6463" w14:textId="58115FE7" w:rsidR="005174F5" w:rsidRPr="005174F5" w:rsidRDefault="005174F5" w:rsidP="005174F5">
      <w:pPr>
        <w:ind w:right="170"/>
        <w:jc w:val="both"/>
        <w:rPr>
          <w:rFonts w:ascii="Times New Roman" w:hAnsi="Times New Roman" w:cs="Times New Roman"/>
          <w:i/>
          <w:iCs/>
        </w:rPr>
      </w:pPr>
      <w:r w:rsidRPr="005174F5">
        <w:rPr>
          <w:rFonts w:ascii="Times New Roman" w:hAnsi="Times New Roman" w:cs="Times New Roman"/>
          <w:i/>
          <w:iCs/>
        </w:rPr>
        <w:t>3.1 Uso de moléculas para tratamiento de síntomas y comorbilidades subyacentes  en la Covid-19</w:t>
      </w:r>
    </w:p>
    <w:p w14:paraId="30CBBAED" w14:textId="0834AF54" w:rsidR="005174F5" w:rsidRDefault="005174F5" w:rsidP="005174F5">
      <w:pPr>
        <w:ind w:right="170"/>
        <w:jc w:val="both"/>
        <w:rPr>
          <w:rFonts w:ascii="Times New Roman" w:hAnsi="Times New Roman" w:cs="Times New Roman"/>
        </w:rPr>
      </w:pPr>
      <w:r w:rsidRPr="005174F5">
        <w:rPr>
          <w:rFonts w:ascii="Times New Roman" w:hAnsi="Times New Roman" w:cs="Times New Roman"/>
        </w:rPr>
        <w:t>Los medicamentos que se utilizaron con un éxito mayor a los antivirales y tratamientos biotecnológicos como los anticuerpos monoclonales, permitieron mejorar los síntomas y signos de afección vascular por la Covid-19 y por ende el bienestar de los pacientes con y sin comorbilidad, aumentando las expectativas de sobrevida y recuperación en los pacientes con Covid-19. Se enumeran a continuación los diferentes tipos de moléculas con acción farmacológica declara y conocida hasta este momento que se utilizan con éxito en la Covid-19.</w:t>
      </w:r>
    </w:p>
    <w:p w14:paraId="7DD70395" w14:textId="63D91A39" w:rsidR="005174F5" w:rsidRPr="005174F5" w:rsidRDefault="005174F5" w:rsidP="005174F5">
      <w:pPr>
        <w:ind w:right="170"/>
        <w:jc w:val="both"/>
        <w:rPr>
          <w:rFonts w:ascii="Times New Roman" w:hAnsi="Times New Roman" w:cs="Times New Roman"/>
          <w:i/>
          <w:iCs/>
        </w:rPr>
      </w:pPr>
      <w:r w:rsidRPr="005174F5">
        <w:rPr>
          <w:rFonts w:ascii="Times New Roman" w:hAnsi="Times New Roman" w:cs="Times New Roman"/>
          <w:i/>
          <w:iCs/>
        </w:rPr>
        <w:t>3.1.1 Hemodinámicos y Coagulometría</w:t>
      </w:r>
    </w:p>
    <w:p w14:paraId="6836E036" w14:textId="1C92E4B2" w:rsidR="005174F5" w:rsidRDefault="005174F5" w:rsidP="005174F5">
      <w:pPr>
        <w:ind w:right="170"/>
        <w:jc w:val="both"/>
        <w:rPr>
          <w:rFonts w:ascii="Times New Roman" w:hAnsi="Times New Roman" w:cs="Times New Roman"/>
        </w:rPr>
      </w:pPr>
      <w:r w:rsidRPr="005174F5">
        <w:rPr>
          <w:rFonts w:ascii="Times New Roman" w:hAnsi="Times New Roman" w:cs="Times New Roman"/>
        </w:rPr>
        <w:lastRenderedPageBreak/>
        <w:t>Heparina sódica de bajo peso molecular y enoxaparina, Abordaje anti-trombótico, Profilaxis de la enfermedad tromboembólica venosa desventajas: aumentan el riesgo de sangrados, en pacientes con implantes cardíacos se debe observar mayor cuidado médico.</w:t>
      </w:r>
    </w:p>
    <w:p w14:paraId="6374410D" w14:textId="008AC9CC" w:rsidR="005174F5" w:rsidRPr="005174F5" w:rsidRDefault="005174F5" w:rsidP="005174F5">
      <w:pPr>
        <w:ind w:right="170"/>
        <w:jc w:val="both"/>
        <w:rPr>
          <w:rFonts w:ascii="Times New Roman" w:hAnsi="Times New Roman" w:cs="Times New Roman"/>
          <w:i/>
          <w:iCs/>
        </w:rPr>
      </w:pPr>
      <w:r w:rsidRPr="005174F5">
        <w:rPr>
          <w:rFonts w:ascii="Times New Roman" w:hAnsi="Times New Roman" w:cs="Times New Roman"/>
          <w:i/>
          <w:iCs/>
        </w:rPr>
        <w:t>3.1.2 Anti-inflamatorios</w:t>
      </w:r>
      <w:r>
        <w:rPr>
          <w:rFonts w:ascii="Times New Roman" w:hAnsi="Times New Roman" w:cs="Times New Roman"/>
          <w:i/>
          <w:iCs/>
        </w:rPr>
        <w:t xml:space="preserve"> no esteroideos</w:t>
      </w:r>
    </w:p>
    <w:p w14:paraId="0B8D054C" w14:textId="77777777" w:rsidR="005174F5" w:rsidRPr="005174F5" w:rsidRDefault="005174F5" w:rsidP="005174F5">
      <w:pPr>
        <w:ind w:right="170"/>
        <w:jc w:val="both"/>
        <w:rPr>
          <w:rFonts w:ascii="Times New Roman" w:hAnsi="Times New Roman" w:cs="Times New Roman"/>
        </w:rPr>
      </w:pPr>
      <w:r w:rsidRPr="005174F5">
        <w:rPr>
          <w:rFonts w:ascii="Times New Roman" w:hAnsi="Times New Roman" w:cs="Times New Roman"/>
        </w:rPr>
        <w:t>Antiinflamatorios no esteroideos (AINES), aumentan el riesgo de sangrados, interacción de Ciclooxigenasas y aumento de sangrado de tubo digestivo, acción farmacológica no sistémica y que no involucra tejido vascular, pueden presentar complicaciones en Sistema Nervioso Central, Síndrome de Reye.</w:t>
      </w:r>
    </w:p>
    <w:p w14:paraId="4A7F8FAE" w14:textId="34FBC612" w:rsidR="005174F5" w:rsidRPr="005174F5" w:rsidRDefault="005174F5" w:rsidP="005174F5">
      <w:pPr>
        <w:ind w:right="170"/>
        <w:jc w:val="both"/>
        <w:rPr>
          <w:rFonts w:ascii="Times New Roman" w:hAnsi="Times New Roman" w:cs="Times New Roman"/>
          <w:i/>
          <w:iCs/>
        </w:rPr>
      </w:pPr>
      <w:r w:rsidRPr="005174F5">
        <w:rPr>
          <w:rFonts w:ascii="Times New Roman" w:hAnsi="Times New Roman" w:cs="Times New Roman"/>
          <w:i/>
          <w:iCs/>
        </w:rPr>
        <w:t>3.1.</w:t>
      </w:r>
      <w:r>
        <w:rPr>
          <w:rFonts w:ascii="Times New Roman" w:hAnsi="Times New Roman" w:cs="Times New Roman"/>
          <w:i/>
          <w:iCs/>
        </w:rPr>
        <w:t xml:space="preserve">3. </w:t>
      </w:r>
      <w:r w:rsidRPr="005174F5">
        <w:rPr>
          <w:rFonts w:ascii="Times New Roman" w:hAnsi="Times New Roman" w:cs="Times New Roman"/>
          <w:i/>
          <w:iCs/>
        </w:rPr>
        <w:t xml:space="preserve"> Anti-inflamatorios </w:t>
      </w:r>
      <w:r>
        <w:rPr>
          <w:rFonts w:ascii="Times New Roman" w:hAnsi="Times New Roman" w:cs="Times New Roman"/>
          <w:i/>
          <w:iCs/>
        </w:rPr>
        <w:t>esteroideos</w:t>
      </w:r>
    </w:p>
    <w:p w14:paraId="4A5C4E97" w14:textId="289A7A4D" w:rsidR="005174F5" w:rsidRPr="005174F5" w:rsidRDefault="005174F5" w:rsidP="005174F5">
      <w:pPr>
        <w:ind w:right="170"/>
        <w:jc w:val="both"/>
        <w:rPr>
          <w:rFonts w:ascii="Times New Roman" w:hAnsi="Times New Roman" w:cs="Times New Roman"/>
        </w:rPr>
      </w:pPr>
      <w:r>
        <w:rPr>
          <w:rFonts w:ascii="Times New Roman" w:hAnsi="Times New Roman" w:cs="Times New Roman"/>
        </w:rPr>
        <w:t xml:space="preserve">Moléculas de tipo </w:t>
      </w:r>
      <w:r w:rsidRPr="005174F5">
        <w:rPr>
          <w:rFonts w:ascii="Times New Roman" w:hAnsi="Times New Roman" w:cs="Times New Roman"/>
        </w:rPr>
        <w:t>esteroideo (Dexametasona), la dexametasona es un corticosteroide, es decir, es similar a una hormona natural producida por las glándulas suprarrenales. Actúa como antiinflamatorio e inmunomodulador, lo cual permite que los pacientes puedan responder de una mejor manera a los procesos vasculares y pulmonares, permitiendo una mejor ventilación y aumentar la saturación de oxígeno, en pacientes con Covid-19, con comorbilidades y sin comorbilidades.</w:t>
      </w:r>
    </w:p>
    <w:p w14:paraId="091DA538" w14:textId="7303F14E" w:rsidR="005174F5" w:rsidRPr="005174F5" w:rsidRDefault="005174F5" w:rsidP="005174F5">
      <w:pPr>
        <w:spacing w:line="240" w:lineRule="auto"/>
        <w:jc w:val="both"/>
        <w:rPr>
          <w:rFonts w:ascii="Times New Roman" w:eastAsia="Times New Roman" w:hAnsi="Times New Roman" w:cs="Times New Roman"/>
          <w:i/>
          <w:iCs/>
          <w:color w:val="000000" w:themeColor="text1"/>
          <w:lang w:val="es-ES" w:eastAsia="es-ES"/>
        </w:rPr>
      </w:pPr>
      <w:r w:rsidRPr="005174F5">
        <w:rPr>
          <w:rFonts w:ascii="Times New Roman" w:eastAsia="Times New Roman" w:hAnsi="Times New Roman" w:cs="Times New Roman"/>
          <w:i/>
          <w:iCs/>
          <w:color w:val="000000" w:themeColor="text1"/>
          <w:lang w:val="es-ES" w:eastAsia="es-ES"/>
        </w:rPr>
        <w:t>3.1.</w:t>
      </w:r>
      <w:r>
        <w:rPr>
          <w:rFonts w:ascii="Times New Roman" w:eastAsia="Times New Roman" w:hAnsi="Times New Roman" w:cs="Times New Roman"/>
          <w:i/>
          <w:iCs/>
          <w:color w:val="000000" w:themeColor="text1"/>
          <w:lang w:val="es-ES" w:eastAsia="es-ES"/>
        </w:rPr>
        <w:t>4</w:t>
      </w:r>
      <w:r w:rsidRPr="005174F5">
        <w:rPr>
          <w:rFonts w:ascii="Times New Roman" w:eastAsia="Times New Roman" w:hAnsi="Times New Roman" w:cs="Times New Roman"/>
          <w:i/>
          <w:iCs/>
          <w:color w:val="000000" w:themeColor="text1"/>
          <w:lang w:val="es-ES" w:eastAsia="es-ES"/>
        </w:rPr>
        <w:t>. Hipoglicemiantes</w:t>
      </w:r>
    </w:p>
    <w:p w14:paraId="0D40FFA0" w14:textId="794D2FC0" w:rsidR="005174F5" w:rsidRDefault="005174F5" w:rsidP="005174F5">
      <w:pPr>
        <w:spacing w:line="240" w:lineRule="auto"/>
        <w:jc w:val="both"/>
        <w:rPr>
          <w:rFonts w:ascii="Times New Roman" w:eastAsia="Times New Roman" w:hAnsi="Times New Roman" w:cs="Times New Roman"/>
          <w:color w:val="000000" w:themeColor="text1"/>
          <w:lang w:val="es-ES" w:eastAsia="es-ES"/>
        </w:rPr>
      </w:pPr>
      <w:r w:rsidRPr="005174F5">
        <w:rPr>
          <w:rFonts w:ascii="Times New Roman" w:eastAsia="Times New Roman" w:hAnsi="Times New Roman" w:cs="Times New Roman"/>
          <w:color w:val="000000" w:themeColor="text1"/>
          <w:lang w:val="es-ES" w:eastAsia="es-ES"/>
        </w:rPr>
        <w:t xml:space="preserve"> En pacientes con DM y que presentan Covid-19 se utilizó el medicamento de base denominado glibenclamida, para evitar la hiperglicemia en Covid-19 en paciente con DM, sin embargo, activa la gluconeogénesis, lo que compromete la conversión a Triglicéridos con el consecuente aumento del Índice aterogénico y el riesgo de aumento en lactato deshidrogenasa y daño cardiaco.</w:t>
      </w:r>
    </w:p>
    <w:p w14:paraId="22CA0BFC" w14:textId="6AA99135" w:rsidR="005174F5" w:rsidRPr="005174F5" w:rsidRDefault="005174F5" w:rsidP="005174F5">
      <w:pPr>
        <w:spacing w:line="240" w:lineRule="auto"/>
        <w:jc w:val="both"/>
        <w:rPr>
          <w:rFonts w:ascii="Times New Roman" w:eastAsia="Times New Roman" w:hAnsi="Times New Roman" w:cs="Times New Roman"/>
          <w:i/>
          <w:iCs/>
          <w:color w:val="000000" w:themeColor="text1"/>
          <w:lang w:val="es-ES" w:eastAsia="es-ES"/>
        </w:rPr>
      </w:pPr>
      <w:r w:rsidRPr="005174F5">
        <w:rPr>
          <w:rFonts w:ascii="Times New Roman" w:eastAsia="Times New Roman" w:hAnsi="Times New Roman" w:cs="Times New Roman"/>
          <w:i/>
          <w:iCs/>
          <w:color w:val="000000" w:themeColor="text1"/>
          <w:lang w:val="es-ES" w:eastAsia="es-ES"/>
        </w:rPr>
        <w:t>3.1.5. Antihiperglicemiantes</w:t>
      </w:r>
    </w:p>
    <w:p w14:paraId="59208ACC" w14:textId="77777777" w:rsidR="005174F5" w:rsidRDefault="005174F5" w:rsidP="005174F5">
      <w:pPr>
        <w:spacing w:line="240" w:lineRule="auto"/>
        <w:jc w:val="both"/>
        <w:rPr>
          <w:rFonts w:ascii="Times New Roman" w:eastAsia="Times New Roman" w:hAnsi="Times New Roman" w:cs="Times New Roman"/>
          <w:color w:val="000000" w:themeColor="text1"/>
          <w:lang w:val="es-ES" w:eastAsia="es-ES"/>
        </w:rPr>
      </w:pPr>
      <w:r w:rsidRPr="005174F5">
        <w:rPr>
          <w:rFonts w:ascii="Times New Roman" w:eastAsia="Times New Roman" w:hAnsi="Times New Roman" w:cs="Times New Roman"/>
          <w:color w:val="000000" w:themeColor="text1"/>
          <w:lang w:val="es-ES" w:eastAsia="es-ES"/>
        </w:rPr>
        <w:t>En pacientes con DM y que presentan</w:t>
      </w:r>
      <w:r>
        <w:rPr>
          <w:rFonts w:ascii="Times New Roman" w:eastAsia="Times New Roman" w:hAnsi="Times New Roman" w:cs="Times New Roman"/>
          <w:color w:val="000000" w:themeColor="text1"/>
          <w:lang w:val="es-ES" w:eastAsia="es-ES"/>
        </w:rPr>
        <w:t>ron</w:t>
      </w:r>
      <w:r w:rsidRPr="005174F5">
        <w:rPr>
          <w:rFonts w:ascii="Times New Roman" w:eastAsia="Times New Roman" w:hAnsi="Times New Roman" w:cs="Times New Roman"/>
          <w:color w:val="000000" w:themeColor="text1"/>
          <w:lang w:val="es-ES" w:eastAsia="es-ES"/>
        </w:rPr>
        <w:t xml:space="preserve"> Covid-19 se utilizó el medicamento de base </w:t>
      </w:r>
      <w:r w:rsidRPr="005174F5">
        <w:rPr>
          <w:rFonts w:ascii="Times New Roman" w:eastAsia="Times New Roman" w:hAnsi="Times New Roman" w:cs="Times New Roman"/>
          <w:color w:val="000000" w:themeColor="text1"/>
          <w:lang w:val="es-ES" w:eastAsia="es-ES"/>
        </w:rPr>
        <w:t>metformina</w:t>
      </w:r>
      <w:r>
        <w:rPr>
          <w:rFonts w:ascii="Times New Roman" w:eastAsia="Times New Roman" w:hAnsi="Times New Roman" w:cs="Times New Roman"/>
          <w:color w:val="000000" w:themeColor="text1"/>
          <w:lang w:val="es-ES" w:eastAsia="es-ES"/>
        </w:rPr>
        <w:t xml:space="preserve"> en diversas posologias</w:t>
      </w:r>
      <w:r w:rsidRPr="005174F5">
        <w:rPr>
          <w:rFonts w:ascii="Times New Roman" w:eastAsia="Times New Roman" w:hAnsi="Times New Roman" w:cs="Times New Roman"/>
          <w:color w:val="000000" w:themeColor="text1"/>
          <w:lang w:val="es-ES" w:eastAsia="es-ES"/>
        </w:rPr>
        <w:t>, el cual disminuye la resistencia a la Insulina, permitiendo mejorar el control de la Hiperglicemia en el paciente con DM y Covid-19, este medicamento mostró mejor comportamiento farmacológico, no obstante, debe observarse control de los parámetros renales de depuración y tasa glomerular</w:t>
      </w:r>
      <w:r>
        <w:rPr>
          <w:rFonts w:ascii="Times New Roman" w:eastAsia="Times New Roman" w:hAnsi="Times New Roman" w:cs="Times New Roman"/>
          <w:color w:val="000000" w:themeColor="text1"/>
          <w:lang w:val="es-ES" w:eastAsia="es-ES"/>
        </w:rPr>
        <w:t>, en lo referente a valores de urea y creatinina.</w:t>
      </w:r>
    </w:p>
    <w:p w14:paraId="6F87B92B" w14:textId="4D80CA76" w:rsidR="005174F5" w:rsidRPr="005174F5" w:rsidRDefault="005174F5" w:rsidP="005174F5">
      <w:pPr>
        <w:spacing w:line="240" w:lineRule="auto"/>
        <w:jc w:val="both"/>
        <w:rPr>
          <w:rFonts w:ascii="Times New Roman" w:eastAsia="Times New Roman" w:hAnsi="Times New Roman" w:cs="Times New Roman"/>
          <w:i/>
          <w:iCs/>
          <w:color w:val="000000" w:themeColor="text1"/>
          <w:lang w:val="es-ES" w:eastAsia="es-ES"/>
        </w:rPr>
      </w:pPr>
      <w:r w:rsidRPr="005174F5">
        <w:rPr>
          <w:rFonts w:ascii="Times New Roman" w:eastAsia="Times New Roman" w:hAnsi="Times New Roman" w:cs="Times New Roman"/>
          <w:i/>
          <w:iCs/>
          <w:color w:val="000000" w:themeColor="text1"/>
          <w:lang w:val="es-ES" w:eastAsia="es-ES"/>
        </w:rPr>
        <w:t>3.1.6. Hipolipemiantes</w:t>
      </w:r>
    </w:p>
    <w:p w14:paraId="212DC0AE" w14:textId="25B530A4" w:rsidR="005174F5" w:rsidRPr="00C20EE7" w:rsidRDefault="005174F5" w:rsidP="005174F5">
      <w:pPr>
        <w:spacing w:line="240" w:lineRule="auto"/>
        <w:jc w:val="both"/>
        <w:rPr>
          <w:rFonts w:ascii="Times New Roman" w:eastAsia="Times New Roman" w:hAnsi="Times New Roman" w:cs="Times New Roman"/>
          <w:color w:val="000000" w:themeColor="text1"/>
          <w:lang w:val="es-ES" w:eastAsia="es-ES"/>
        </w:rPr>
      </w:pPr>
      <w:r w:rsidRPr="005174F5">
        <w:rPr>
          <w:rFonts w:ascii="Times New Roman" w:eastAsia="Times New Roman" w:hAnsi="Times New Roman" w:cs="Times New Roman"/>
          <w:color w:val="000000" w:themeColor="text1"/>
          <w:lang w:val="es-ES" w:eastAsia="es-ES"/>
        </w:rPr>
        <w:t xml:space="preserve"> En pacientes con dislipidemias y Covid-19 se utilizaron, las estatinas (atorvastatina) actúan reduciendo la cantidad de colesterol que produce el hígado, ayudándolo a eliminar el que ya circula por la sangre, y mejorando el índice aterogénico y evitando el compromiso vascular y cardiaco, sin embargo, es necesario observar posibles complicaciones biliares, por lo que los estudios de función hepática son fundamentales.</w:t>
      </w:r>
      <w:r>
        <w:rPr>
          <w:rFonts w:ascii="Times New Roman" w:eastAsia="Times New Roman" w:hAnsi="Times New Roman" w:cs="Times New Roman"/>
          <w:color w:val="000000" w:themeColor="text1"/>
          <w:lang w:val="es-ES" w:eastAsia="es-ES"/>
        </w:rPr>
        <w:t xml:space="preserve"> </w:t>
      </w:r>
      <w:r w:rsidRPr="005174F5">
        <w:rPr>
          <w:rFonts w:ascii="Times New Roman" w:eastAsia="Times New Roman" w:hAnsi="Times New Roman" w:cs="Times New Roman"/>
          <w:color w:val="000000" w:themeColor="text1"/>
          <w:lang w:val="es-ES" w:eastAsia="es-ES"/>
        </w:rPr>
        <w:t xml:space="preserve">De esta manera la literatura y los modelos de redes mostraron que los medicamentos antes mencionados son los que exhibieron una mayor expectativa en los pacientes con Covid-19 con y sin comorbilidad, teniendo en consideración su acceso, costo y terapéuticas, ya probada, así, como las autorizaciones por las entidades gubernamentales como FDA y COFEPRIS. </w:t>
      </w:r>
      <w:r>
        <w:rPr>
          <w:rFonts w:ascii="Times New Roman" w:eastAsia="Times New Roman" w:hAnsi="Times New Roman" w:cs="Times New Roman"/>
          <w:color w:val="000000" w:themeColor="text1"/>
          <w:lang w:val="es-ES" w:eastAsia="es-ES"/>
        </w:rPr>
        <w:t xml:space="preserve"> </w:t>
      </w:r>
    </w:p>
    <w:p w14:paraId="516694A5" w14:textId="47161B8D" w:rsidR="000A01A8" w:rsidRPr="005174F5" w:rsidRDefault="00C20EE7" w:rsidP="005174F5">
      <w:pPr>
        <w:spacing w:line="240" w:lineRule="auto"/>
        <w:jc w:val="both"/>
        <w:rPr>
          <w:rFonts w:ascii="Times New Roman" w:eastAsia="Times New Roman" w:hAnsi="Times New Roman" w:cs="Times New Roman"/>
          <w:b/>
          <w:bCs/>
          <w:color w:val="000000" w:themeColor="text1"/>
          <w:sz w:val="24"/>
          <w:szCs w:val="24"/>
          <w:lang w:val="es-ES" w:eastAsia="es-ES"/>
        </w:rPr>
      </w:pPr>
      <w:r w:rsidRPr="0088788D">
        <w:rPr>
          <w:rFonts w:ascii="Times New Roman" w:eastAsia="Times New Roman" w:hAnsi="Times New Roman" w:cs="Times New Roman"/>
          <w:b/>
          <w:bCs/>
          <w:color w:val="000000" w:themeColor="text1"/>
          <w:sz w:val="24"/>
          <w:szCs w:val="24"/>
          <w:lang w:val="es-ES" w:eastAsia="es-ES"/>
        </w:rPr>
        <w:t>4.</w:t>
      </w:r>
      <w:r w:rsidRPr="0088788D">
        <w:rPr>
          <w:rFonts w:ascii="Times New Roman" w:eastAsia="Times New Roman" w:hAnsi="Times New Roman" w:cs="Times New Roman"/>
          <w:color w:val="000000" w:themeColor="text1"/>
          <w:sz w:val="24"/>
          <w:szCs w:val="24"/>
          <w:lang w:val="es-ES" w:eastAsia="es-ES"/>
        </w:rPr>
        <w:t xml:space="preserve"> </w:t>
      </w:r>
      <w:r w:rsidR="006541C1" w:rsidRPr="0088788D">
        <w:rPr>
          <w:rFonts w:ascii="Times New Roman" w:eastAsia="Times New Roman" w:hAnsi="Times New Roman" w:cs="Times New Roman"/>
          <w:b/>
          <w:bCs/>
          <w:color w:val="000000" w:themeColor="text1"/>
          <w:sz w:val="24"/>
          <w:szCs w:val="24"/>
          <w:lang w:val="es-ES" w:eastAsia="es-ES"/>
        </w:rPr>
        <w:t xml:space="preserve"> Conclusiones</w:t>
      </w:r>
    </w:p>
    <w:p w14:paraId="49FE4F00" w14:textId="77777777" w:rsidR="005174F5" w:rsidRPr="005174F5" w:rsidRDefault="005174F5" w:rsidP="005174F5">
      <w:pPr>
        <w:spacing w:line="240" w:lineRule="auto"/>
        <w:ind w:right="51"/>
        <w:jc w:val="both"/>
        <w:rPr>
          <w:rFonts w:ascii="Times New Roman" w:hAnsi="Times New Roman" w:cs="Times New Roman"/>
        </w:rPr>
      </w:pPr>
      <w:r w:rsidRPr="005174F5">
        <w:rPr>
          <w:rFonts w:ascii="Times New Roman" w:hAnsi="Times New Roman" w:cs="Times New Roman"/>
        </w:rPr>
        <w:t>Estos datos farmacológicos, actuales, sugieren que en orden de importancia frente</w:t>
      </w:r>
    </w:p>
    <w:p w14:paraId="3C299ADA" w14:textId="77777777" w:rsidR="005174F5" w:rsidRPr="005174F5" w:rsidRDefault="005174F5" w:rsidP="005174F5">
      <w:pPr>
        <w:spacing w:line="240" w:lineRule="auto"/>
        <w:ind w:right="51"/>
        <w:jc w:val="both"/>
        <w:rPr>
          <w:rFonts w:ascii="Times New Roman" w:hAnsi="Times New Roman" w:cs="Times New Roman"/>
        </w:rPr>
      </w:pPr>
      <w:r w:rsidRPr="005174F5">
        <w:rPr>
          <w:rFonts w:ascii="Times New Roman" w:hAnsi="Times New Roman" w:cs="Times New Roman"/>
        </w:rPr>
        <w:t>al proceso infecciosos emergente denominado SARS-CoV-2:</w:t>
      </w:r>
    </w:p>
    <w:p w14:paraId="23266D98" w14:textId="362BD633" w:rsidR="005174F5" w:rsidRPr="005174F5" w:rsidRDefault="005174F5" w:rsidP="005174F5">
      <w:pPr>
        <w:spacing w:line="240" w:lineRule="auto"/>
        <w:ind w:right="51"/>
        <w:jc w:val="both"/>
        <w:rPr>
          <w:rFonts w:ascii="Times New Roman" w:hAnsi="Times New Roman" w:cs="Times New Roman"/>
        </w:rPr>
      </w:pPr>
      <w:r w:rsidRPr="005174F5">
        <w:rPr>
          <w:rFonts w:ascii="Times New Roman" w:hAnsi="Times New Roman" w:cs="Times New Roman"/>
        </w:rPr>
        <w:t>a)</w:t>
      </w:r>
      <w:r w:rsidRPr="005174F5">
        <w:rPr>
          <w:rFonts w:ascii="Times New Roman" w:hAnsi="Times New Roman" w:cs="Times New Roman"/>
        </w:rPr>
        <w:tab/>
        <w:t>El acceso a medicamentos antivirales, recientes, como remdisivir, se encarece y dificulta su acceso en países como México, Brasil o la India, disminuyendo las expectativas de vida de los Pacientes con Covid-19.</w:t>
      </w:r>
    </w:p>
    <w:p w14:paraId="1447363D" w14:textId="1C9D31DD" w:rsidR="005174F5" w:rsidRPr="005174F5" w:rsidRDefault="005174F5" w:rsidP="005174F5">
      <w:pPr>
        <w:spacing w:line="240" w:lineRule="auto"/>
        <w:ind w:right="51"/>
        <w:jc w:val="both"/>
        <w:rPr>
          <w:rFonts w:ascii="Times New Roman" w:hAnsi="Times New Roman" w:cs="Times New Roman"/>
        </w:rPr>
      </w:pPr>
      <w:r w:rsidRPr="005174F5">
        <w:rPr>
          <w:rFonts w:ascii="Times New Roman" w:hAnsi="Times New Roman" w:cs="Times New Roman"/>
        </w:rPr>
        <w:t>b)</w:t>
      </w:r>
      <w:r w:rsidRPr="005174F5">
        <w:rPr>
          <w:rFonts w:ascii="Times New Roman" w:hAnsi="Times New Roman" w:cs="Times New Roman"/>
        </w:rPr>
        <w:tab/>
        <w:t xml:space="preserve">Sigue siendo vigente el uso de medicamento anti-inflamatorios tipo esteroideo, </w:t>
      </w:r>
      <w:r w:rsidR="00E61547" w:rsidRPr="005174F5">
        <w:rPr>
          <w:rFonts w:ascii="Times New Roman" w:hAnsi="Times New Roman" w:cs="Times New Roman"/>
        </w:rPr>
        <w:t>que,</w:t>
      </w:r>
      <w:r w:rsidRPr="005174F5">
        <w:rPr>
          <w:rFonts w:ascii="Times New Roman" w:hAnsi="Times New Roman" w:cs="Times New Roman"/>
        </w:rPr>
        <w:t xml:space="preserve"> no </w:t>
      </w:r>
      <w:r w:rsidR="00E61547" w:rsidRPr="005174F5">
        <w:rPr>
          <w:rFonts w:ascii="Times New Roman" w:hAnsi="Times New Roman" w:cs="Times New Roman"/>
        </w:rPr>
        <w:t>obstante,</w:t>
      </w:r>
      <w:r w:rsidRPr="005174F5">
        <w:rPr>
          <w:rFonts w:ascii="Times New Roman" w:hAnsi="Times New Roman" w:cs="Times New Roman"/>
        </w:rPr>
        <w:t xml:space="preserve"> deben administrarse bajo estricta vigilancia </w:t>
      </w:r>
      <w:r w:rsidR="001E6DFB" w:rsidRPr="005174F5">
        <w:rPr>
          <w:rFonts w:ascii="Times New Roman" w:hAnsi="Times New Roman" w:cs="Times New Roman"/>
        </w:rPr>
        <w:t>médica</w:t>
      </w:r>
      <w:r w:rsidRPr="005174F5">
        <w:rPr>
          <w:rFonts w:ascii="Times New Roman" w:hAnsi="Times New Roman" w:cs="Times New Roman"/>
        </w:rPr>
        <w:t xml:space="preserve">, </w:t>
      </w:r>
      <w:r w:rsidRPr="005174F5">
        <w:rPr>
          <w:rFonts w:ascii="Times New Roman" w:hAnsi="Times New Roman" w:cs="Times New Roman"/>
        </w:rPr>
        <w:lastRenderedPageBreak/>
        <w:t>en pacientes con comorbilidades, renales, hepáticas y/o hormonales.</w:t>
      </w:r>
    </w:p>
    <w:p w14:paraId="0AF889B8" w14:textId="77777777" w:rsidR="005174F5" w:rsidRPr="005174F5" w:rsidRDefault="005174F5" w:rsidP="005174F5">
      <w:pPr>
        <w:spacing w:line="240" w:lineRule="auto"/>
        <w:ind w:right="51"/>
        <w:jc w:val="both"/>
        <w:rPr>
          <w:rFonts w:ascii="Times New Roman" w:hAnsi="Times New Roman" w:cs="Times New Roman"/>
        </w:rPr>
      </w:pPr>
      <w:r w:rsidRPr="005174F5">
        <w:rPr>
          <w:rFonts w:ascii="Times New Roman" w:hAnsi="Times New Roman" w:cs="Times New Roman"/>
        </w:rPr>
        <w:t>c)</w:t>
      </w:r>
      <w:r w:rsidRPr="005174F5">
        <w:rPr>
          <w:rFonts w:ascii="Times New Roman" w:hAnsi="Times New Roman" w:cs="Times New Roman"/>
        </w:rPr>
        <w:tab/>
        <w:t>El uso de moléculas ya aprobadas para otros tratamientos y otras afecciones infecciosas y no Infecciosas, debe ampliarse el horizonte de blancos moleculares, así como ampliar sus indicaciones y contra-</w:t>
      </w:r>
      <w:r w:rsidRPr="005174F5">
        <w:rPr>
          <w:rFonts w:ascii="Times New Roman" w:hAnsi="Times New Roman" w:cs="Times New Roman"/>
        </w:rPr>
        <w:t>indicaciones y reacciones secundarias, por parte de los profesionales de la salud.</w:t>
      </w:r>
    </w:p>
    <w:p w14:paraId="62E99309" w14:textId="111CC0AA" w:rsidR="00C20EE7" w:rsidRPr="001E6DFB" w:rsidRDefault="005174F5" w:rsidP="001E6DFB">
      <w:pPr>
        <w:spacing w:line="240" w:lineRule="auto"/>
        <w:ind w:right="51"/>
        <w:jc w:val="both"/>
        <w:rPr>
          <w:rFonts w:ascii="Times New Roman" w:hAnsi="Times New Roman" w:cs="Times New Roman"/>
        </w:rPr>
        <w:sectPr w:rsidR="00C20EE7" w:rsidRPr="001E6DFB" w:rsidSect="00C20EE7">
          <w:type w:val="continuous"/>
          <w:pgSz w:w="12240" w:h="15840"/>
          <w:pgMar w:top="1417" w:right="1701" w:bottom="1417" w:left="1701" w:header="708" w:footer="708" w:gutter="0"/>
          <w:cols w:num="2" w:space="708"/>
          <w:docGrid w:linePitch="360"/>
        </w:sectPr>
      </w:pPr>
      <w:r w:rsidRPr="005174F5">
        <w:rPr>
          <w:rFonts w:ascii="Times New Roman" w:hAnsi="Times New Roman" w:cs="Times New Roman"/>
        </w:rPr>
        <w:t>d)</w:t>
      </w:r>
      <w:r w:rsidRPr="005174F5">
        <w:rPr>
          <w:rFonts w:ascii="Times New Roman" w:hAnsi="Times New Roman" w:cs="Times New Roman"/>
        </w:rPr>
        <w:tab/>
        <w:t>El conjunto de herramientas moleculares, celulares permiten ampliar el uso de medicamentos frente a procesos emergentes, en tanto se logran conseguir moléculas especificas contra procesos infecciosos, virales, emergentes</w:t>
      </w:r>
      <w:r w:rsidR="00C20EE7" w:rsidRPr="00C20EE7">
        <w:rPr>
          <w:rFonts w:ascii="Times New Roman" w:hAnsi="Times New Roman" w:cs="Times New Roman"/>
        </w:rPr>
        <w:t xml:space="preserve">.  </w:t>
      </w:r>
    </w:p>
    <w:p w14:paraId="69F6967E" w14:textId="77777777" w:rsidR="008252BA" w:rsidRDefault="008252BA" w:rsidP="006541C1">
      <w:pPr>
        <w:spacing w:line="360" w:lineRule="auto"/>
        <w:jc w:val="both"/>
        <w:rPr>
          <w:rFonts w:ascii="Times New Roman" w:eastAsia="Times New Roman" w:hAnsi="Times New Roman" w:cs="Times New Roman"/>
          <w:b/>
          <w:bCs/>
          <w:color w:val="000000"/>
          <w:sz w:val="24"/>
          <w:szCs w:val="24"/>
          <w:lang w:val="es-ES" w:eastAsia="es-ES"/>
        </w:rPr>
      </w:pPr>
    </w:p>
    <w:p w14:paraId="08B0F39F" w14:textId="0646CC41" w:rsidR="006541C1" w:rsidRPr="00A32432"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bCs/>
          <w:color w:val="000000"/>
          <w:sz w:val="24"/>
          <w:szCs w:val="24"/>
          <w:lang w:val="es-ES" w:eastAsia="es-ES"/>
        </w:rPr>
        <w:t>Referencias bibliográficas</w:t>
      </w:r>
    </w:p>
    <w:p w14:paraId="4973FD7A" w14:textId="77777777" w:rsidR="00EF341B" w:rsidRDefault="00EF341B" w:rsidP="006541C1">
      <w:pPr>
        <w:spacing w:line="360" w:lineRule="auto"/>
        <w:jc w:val="both"/>
        <w:sectPr w:rsidR="00EF341B" w:rsidSect="00A4231E">
          <w:type w:val="continuous"/>
          <w:pgSz w:w="12240" w:h="15840"/>
          <w:pgMar w:top="1417" w:right="1701" w:bottom="1417" w:left="1701" w:header="708" w:footer="708" w:gutter="0"/>
          <w:cols w:space="708"/>
          <w:docGrid w:linePitch="360"/>
        </w:sectPr>
      </w:pPr>
    </w:p>
    <w:p w14:paraId="64FEECE5" w14:textId="77777777" w:rsidR="00665DAB" w:rsidRPr="00EB3674" w:rsidRDefault="004E59F1" w:rsidP="00665DAB">
      <w:pPr>
        <w:spacing w:line="240" w:lineRule="auto"/>
        <w:jc w:val="both"/>
        <w:rPr>
          <w:rFonts w:ascii="Times New Roman" w:hAnsi="Times New Roman" w:cs="Times New Roman"/>
          <w:color w:val="212121"/>
          <w:shd w:val="clear" w:color="auto" w:fill="FFFFFF"/>
          <w:lang w:val="en-US"/>
        </w:rPr>
      </w:pPr>
      <w:r w:rsidRPr="00EC2F35">
        <w:rPr>
          <w:rFonts w:ascii="Times New Roman" w:hAnsi="Times New Roman" w:cs="Times New Roman"/>
          <w:color w:val="212121"/>
          <w:shd w:val="clear" w:color="auto" w:fill="FFFFFF"/>
          <w:lang w:val="en-US"/>
        </w:rPr>
        <w:t xml:space="preserve">Atkins JL, Masoli JAH, Delgado J, Pilling LC, Kuo CL, Kuchel GA, Melzer D. Preexisting Comorbidities Predicting COVID-19 and Mortality in the UK Biobank Community Cohort. J Gerontol A Biol Sci Med Sci. 2020 Oct 15;75(11):2224-2230. doi: 10.1093/gerona/glaa183. </w:t>
      </w:r>
      <w:r w:rsidRPr="00EB3674">
        <w:rPr>
          <w:rFonts w:ascii="Times New Roman" w:hAnsi="Times New Roman" w:cs="Times New Roman"/>
          <w:color w:val="212121"/>
          <w:shd w:val="clear" w:color="auto" w:fill="FFFFFF"/>
          <w:lang w:val="en-US"/>
        </w:rPr>
        <w:t>PMID: 32687551; PMCID: PMC7454409.</w:t>
      </w:r>
    </w:p>
    <w:p w14:paraId="060F6FD3" w14:textId="271EDF6E" w:rsidR="004E59F1" w:rsidRDefault="004E59F1" w:rsidP="00665DAB">
      <w:pPr>
        <w:spacing w:line="240" w:lineRule="auto"/>
        <w:jc w:val="both"/>
        <w:rPr>
          <w:rFonts w:ascii="Times New Roman" w:hAnsi="Times New Roman" w:cs="Times New Roman"/>
          <w:lang w:val="en-US"/>
        </w:rPr>
      </w:pPr>
      <w:r w:rsidRPr="004E59F1">
        <w:rPr>
          <w:rFonts w:ascii="Times New Roman" w:hAnsi="Times New Roman" w:cs="Times New Roman"/>
          <w:lang w:val="en-US"/>
        </w:rPr>
        <w:t>Ejaz H, Alsrhani A, Zafar A, Javed H, Junaid K, Abdalla AE, Abosalif KOA, Ahmed Z, Younas S. COVID-19 and comorbidities: Deleterious impact on infected patients. J Infect Public Health. 2020 Dec;13(12):1833-1839. doi: 10.1016/j.jiph.2020.07.014. Epub 2020 Aug 4. PMID: 32788073; PMCID: PMC7402107.</w:t>
      </w:r>
    </w:p>
    <w:p w14:paraId="666E3A4D" w14:textId="6D0807C9" w:rsidR="008252BA" w:rsidRDefault="008252BA" w:rsidP="00665DAB">
      <w:pPr>
        <w:spacing w:line="240" w:lineRule="auto"/>
        <w:jc w:val="both"/>
        <w:rPr>
          <w:rFonts w:ascii="Times New Roman" w:hAnsi="Times New Roman" w:cs="Times New Roman"/>
          <w:lang w:val="en-US"/>
        </w:rPr>
      </w:pPr>
      <w:r w:rsidRPr="008252BA">
        <w:rPr>
          <w:rFonts w:ascii="Times New Roman" w:hAnsi="Times New Roman" w:cs="Times New Roman"/>
          <w:lang w:val="en-US"/>
        </w:rPr>
        <w:t>Harrison AG, Lin T, Wang P. Mechanisms of SARS-CoV-2 Transmission and Pathogenesis. Trends Immunol. 2020 Dec;41(12):1100-1115. doi: 10.1016/j.it.2020.10.004. Epub 2020 Oct 14. PMID: 33132005; PMCID: PMC7556779.</w:t>
      </w:r>
    </w:p>
    <w:p w14:paraId="3F1D55B2" w14:textId="77777777" w:rsidR="004E59F1" w:rsidRDefault="004E59F1" w:rsidP="00665DAB">
      <w:pPr>
        <w:spacing w:line="240" w:lineRule="auto"/>
        <w:jc w:val="both"/>
        <w:rPr>
          <w:rFonts w:ascii="Times New Roman" w:hAnsi="Times New Roman" w:cs="Times New Roman"/>
          <w:lang w:val="en-US"/>
        </w:rPr>
      </w:pPr>
      <w:r w:rsidRPr="004E59F1">
        <w:rPr>
          <w:rFonts w:ascii="Times New Roman" w:hAnsi="Times New Roman" w:cs="Times New Roman"/>
          <w:lang w:val="en-US"/>
        </w:rPr>
        <w:t>Javelot H, Weiner L. Panique et pandémie : revue de la littérature sur les liens entre le trouble panique et l’épidémie à SARS-CoV-2 [Panic and pandemic: Review of the literature on the links between panic disorder and the SARS-CoV-2 epidemic]. Encephale. 2020 Jun;46(3S):S93-S98. French. doi: 10.1016/j.encep.2020.05.010. Epub 2020 May 21. PMID: 32507556; PMCID: PMC7241353.</w:t>
      </w:r>
    </w:p>
    <w:p w14:paraId="63AD2C5E" w14:textId="7DB5F08E" w:rsidR="004E59F1" w:rsidRDefault="004E59F1" w:rsidP="00665DAB">
      <w:pPr>
        <w:spacing w:line="240" w:lineRule="auto"/>
        <w:jc w:val="both"/>
        <w:rPr>
          <w:rFonts w:ascii="Times New Roman" w:hAnsi="Times New Roman" w:cs="Times New Roman"/>
          <w:lang w:val="en-US"/>
        </w:rPr>
      </w:pPr>
      <w:r w:rsidRPr="004E59F1">
        <w:rPr>
          <w:rFonts w:ascii="Times New Roman" w:hAnsi="Times New Roman" w:cs="Times New Roman"/>
          <w:lang w:val="en-US"/>
        </w:rPr>
        <w:t xml:space="preserve">Scialo F, Daniele A, Amato F, Pastore L, Matera MG, Cazzola M, Castaldo G, Bianco </w:t>
      </w:r>
      <w:r w:rsidRPr="004E59F1">
        <w:rPr>
          <w:rFonts w:ascii="Times New Roman" w:hAnsi="Times New Roman" w:cs="Times New Roman"/>
          <w:lang w:val="en-US"/>
        </w:rPr>
        <w:t>A. ACE2: The Major Cell Entry Receptor for SARS-CoV-2. Lung. 2020 Dec;198(6):867-877. doi: 10.1007/s00408-020-00408-4. Epub 2020 Nov 10. PMID: 33170317; PMCID: PMC7653219.</w:t>
      </w:r>
    </w:p>
    <w:p w14:paraId="47DA7D08" w14:textId="3F05E830" w:rsidR="004E59F1" w:rsidRDefault="004E59F1" w:rsidP="00665DAB">
      <w:pPr>
        <w:spacing w:line="240" w:lineRule="auto"/>
        <w:jc w:val="both"/>
        <w:rPr>
          <w:rFonts w:ascii="Times New Roman" w:hAnsi="Times New Roman" w:cs="Times New Roman"/>
          <w:lang w:val="en-US"/>
        </w:rPr>
      </w:pPr>
      <w:r w:rsidRPr="004E59F1">
        <w:rPr>
          <w:rFonts w:ascii="Times New Roman" w:hAnsi="Times New Roman" w:cs="Times New Roman"/>
          <w:lang w:val="en-US"/>
        </w:rPr>
        <w:t>Schubert A. A webometriáról - a 2015. évi Derek John de Solla Price-emlékérem odaítélése alkalmából [Webometrics – on the occasion of the awarding of the Derek John de Solla Price Medal, 2015]. Orv Hetil. 2015 Sep 6;156(36):1472-4. Hungarian. doi: 10.1556/650.2015.30226. PMID: 26320601.</w:t>
      </w:r>
    </w:p>
    <w:p w14:paraId="60A948EF" w14:textId="06A0C48D" w:rsidR="008252BA" w:rsidRDefault="008252BA" w:rsidP="00665DAB">
      <w:pPr>
        <w:spacing w:line="240" w:lineRule="auto"/>
        <w:jc w:val="both"/>
        <w:rPr>
          <w:rFonts w:ascii="Times New Roman" w:hAnsi="Times New Roman" w:cs="Times New Roman"/>
          <w:lang w:val="en-US"/>
        </w:rPr>
      </w:pPr>
      <w:r w:rsidRPr="008252BA">
        <w:rPr>
          <w:rFonts w:ascii="Times New Roman" w:hAnsi="Times New Roman" w:cs="Times New Roman"/>
          <w:lang w:val="en-US"/>
        </w:rPr>
        <w:t>Lima-Martínez MM, Carrera Boada C, Madera-Silva MD, Marín W, Contreras M. COVID-19 and diabetes: A bidirectional relationship. Clin Investig Arterioscler. 2021 May-Jun;33(3):151-157. English, Spanish. doi: 10.1016/j.arteri.2020.10.001. Epub 2020 Oct 28. PMID: 33303218; PMCID: PMC7598432.</w:t>
      </w:r>
    </w:p>
    <w:p w14:paraId="349874D0" w14:textId="09B55B00" w:rsidR="008252BA" w:rsidRDefault="008252BA" w:rsidP="001E6DFB">
      <w:pPr>
        <w:spacing w:line="240" w:lineRule="auto"/>
        <w:rPr>
          <w:rFonts w:ascii="Times New Roman" w:hAnsi="Times New Roman" w:cs="Times New Roman"/>
          <w:lang w:val="en-US"/>
        </w:rPr>
      </w:pPr>
      <w:r w:rsidRPr="008252BA">
        <w:rPr>
          <w:rFonts w:ascii="Times New Roman" w:hAnsi="Times New Roman" w:cs="Times New Roman"/>
          <w:lang w:val="en-US"/>
        </w:rPr>
        <w:t>Siddiqi HK, Libby P, Ridker PM. COVID-19 - A vascular disease. Trends Cardiovasc Med. 2021 Jan;31(1):1-5. doi: 10.1016/j.tcm.2020.10.005. Epub 2020 Oct 14. PMID: 33068723; PMCID: PMC7556303.</w:t>
      </w:r>
    </w:p>
    <w:p w14:paraId="01D019B3" w14:textId="3A48BE35" w:rsidR="004E59F1" w:rsidRPr="00665DAB" w:rsidRDefault="004E59F1" w:rsidP="00665DAB">
      <w:pPr>
        <w:spacing w:line="240" w:lineRule="auto"/>
        <w:jc w:val="both"/>
        <w:rPr>
          <w:rFonts w:ascii="Times New Roman" w:hAnsi="Times New Roman" w:cs="Times New Roman"/>
          <w:lang w:val="en-US"/>
        </w:rPr>
        <w:sectPr w:rsidR="004E59F1" w:rsidRPr="00665DAB" w:rsidSect="00EF341B">
          <w:type w:val="continuous"/>
          <w:pgSz w:w="12240" w:h="15840"/>
          <w:pgMar w:top="1417" w:right="1701" w:bottom="1417" w:left="1701" w:header="708" w:footer="708" w:gutter="0"/>
          <w:cols w:num="2" w:space="708"/>
          <w:docGrid w:linePitch="360"/>
        </w:sectPr>
      </w:pPr>
      <w:bookmarkStart w:id="0" w:name="_Hlk118443896"/>
      <w:r w:rsidRPr="004E59F1">
        <w:rPr>
          <w:rFonts w:ascii="Times New Roman" w:hAnsi="Times New Roman" w:cs="Times New Roman"/>
          <w:lang w:val="en-US"/>
        </w:rPr>
        <w:t>Trougakos</w:t>
      </w:r>
      <w:bookmarkEnd w:id="0"/>
      <w:r w:rsidRPr="004E59F1">
        <w:rPr>
          <w:rFonts w:ascii="Times New Roman" w:hAnsi="Times New Roman" w:cs="Times New Roman"/>
          <w:lang w:val="en-US"/>
        </w:rPr>
        <w:t xml:space="preserve"> IP, Stamatelopoulos K, Terpos E, Tsitsilonis OE, Aivalioti E, Paraskevis D, Kastritis E, Pavlakis GN, Dimopoulos MA. Insights to SARS-CoV-2 life cycle, pathophysiology, and rationalized treatments that target COVID-19 clinical complications. J </w:t>
      </w:r>
      <w:r w:rsidRPr="004E59F1">
        <w:rPr>
          <w:rFonts w:ascii="Times New Roman" w:hAnsi="Times New Roman" w:cs="Times New Roman"/>
          <w:lang w:val="en-US"/>
        </w:rPr>
        <w:lastRenderedPageBreak/>
        <w:t>Biomed Sci. 2021 Jan 12;28(1):9. doi: 10.1186/s12929-020-00703-5. PMID: 33435929; PMCID: PMC7801873.</w:t>
      </w:r>
    </w:p>
    <w:p w14:paraId="6979387D" w14:textId="77777777" w:rsidR="006541C1" w:rsidRDefault="006541C1" w:rsidP="006541C1">
      <w:pPr>
        <w:spacing w:line="360" w:lineRule="auto"/>
        <w:jc w:val="center"/>
        <w:rPr>
          <w:rFonts w:ascii="Times New Roman" w:hAnsi="Times New Roman"/>
          <w:sz w:val="24"/>
          <w:szCs w:val="24"/>
        </w:rPr>
      </w:pPr>
    </w:p>
    <w:p w14:paraId="6A790E84" w14:textId="1954D9F2" w:rsidR="006541C1" w:rsidRPr="00AF33BB" w:rsidRDefault="00AF33BB" w:rsidP="006541C1">
      <w:pPr>
        <w:rPr>
          <w:rFonts w:ascii="Times New Roman" w:hAnsi="Times New Roman" w:cs="Times New Roman"/>
          <w:b/>
          <w:bCs/>
        </w:rPr>
      </w:pPr>
      <w:r w:rsidRPr="00AF33BB">
        <w:rPr>
          <w:rFonts w:ascii="Times New Roman" w:hAnsi="Times New Roman" w:cs="Times New Roman"/>
          <w:b/>
          <w:bCs/>
        </w:rPr>
        <w:t>Figuras</w:t>
      </w:r>
    </w:p>
    <w:p w14:paraId="6739E87D" w14:textId="21C3EF4D" w:rsidR="00AF33BB" w:rsidRDefault="006E567A" w:rsidP="006E567A">
      <w:pPr>
        <w:jc w:val="center"/>
      </w:pPr>
      <w:r>
        <w:rPr>
          <w:rFonts w:ascii="Arial" w:hAnsi="Arial" w:cs="Arial"/>
          <w:noProof/>
        </w:rPr>
        <mc:AlternateContent>
          <mc:Choice Requires="wps">
            <w:drawing>
              <wp:anchor distT="0" distB="0" distL="114300" distR="114300" simplePos="0" relativeHeight="251660288" behindDoc="0" locked="0" layoutInCell="1" allowOverlap="1" wp14:anchorId="74C02533" wp14:editId="64CA3A08">
                <wp:simplePos x="0" y="0"/>
                <wp:positionH relativeFrom="column">
                  <wp:posOffset>2234565</wp:posOffset>
                </wp:positionH>
                <wp:positionV relativeFrom="paragraph">
                  <wp:posOffset>1938655</wp:posOffset>
                </wp:positionV>
                <wp:extent cx="1133475" cy="2381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1133475"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F9CCF" id="Rectángulo 3" o:spid="_x0000_s1026" style="position:absolute;margin-left:175.95pt;margin-top:152.65pt;width:89.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" fillcolor="white [3212]" strokecolor="white [3212]" strokeweight="1p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779E1C3D" wp14:editId="2DD7CC92">
                <wp:simplePos x="0" y="0"/>
                <wp:positionH relativeFrom="column">
                  <wp:posOffset>2691765</wp:posOffset>
                </wp:positionH>
                <wp:positionV relativeFrom="paragraph">
                  <wp:posOffset>1490980</wp:posOffset>
                </wp:positionV>
                <wp:extent cx="123825" cy="4476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123825"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B84B9" id="Rectángulo 1" o:spid="_x0000_s1026" style="position:absolute;margin-left:211.95pt;margin-top:117.4pt;width:9.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" fillcolor="white [3212]" strokecolor="white [3212]" strokeweight="1pt"/>
            </w:pict>
          </mc:Fallback>
        </mc:AlternateContent>
      </w:r>
      <w:r w:rsidRPr="00654C5F">
        <w:rPr>
          <w:rFonts w:ascii="Arial" w:hAnsi="Arial" w:cs="Arial"/>
          <w:noProof/>
        </w:rPr>
        <w:drawing>
          <wp:inline distT="0" distB="0" distL="0" distR="0" wp14:anchorId="7E5DDD98" wp14:editId="720B1E21">
            <wp:extent cx="3843131" cy="2145119"/>
            <wp:effectExtent l="0" t="0" r="5080" b="7620"/>
            <wp:docPr id="14" name="Imagen 13">
              <a:extLst xmlns:a="http://schemas.openxmlformats.org/drawingml/2006/main">
                <a:ext uri="{FF2B5EF4-FFF2-40B4-BE49-F238E27FC236}">
                  <a16:creationId xmlns:a16="http://schemas.microsoft.com/office/drawing/2014/main" id="{8A17F601-640C-8D2E-7E90-B36762D8C9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a:extLst>
                        <a:ext uri="{FF2B5EF4-FFF2-40B4-BE49-F238E27FC236}">
                          <a16:creationId xmlns:a16="http://schemas.microsoft.com/office/drawing/2014/main" id="{8A17F601-640C-8D2E-7E90-B36762D8C93C}"/>
                        </a:ext>
                      </a:extLst>
                    </pic:cNvPr>
                    <pic:cNvPicPr>
                      <a:picLocks noChangeAspect="1"/>
                    </pic:cNvPicPr>
                  </pic:nvPicPr>
                  <pic:blipFill>
                    <a:blip r:embed="rId11"/>
                    <a:stretch>
                      <a:fillRect/>
                    </a:stretch>
                  </pic:blipFill>
                  <pic:spPr>
                    <a:xfrm>
                      <a:off x="0" y="0"/>
                      <a:ext cx="3843131" cy="2145119"/>
                    </a:xfrm>
                    <a:prstGeom prst="rect">
                      <a:avLst/>
                    </a:prstGeom>
                  </pic:spPr>
                </pic:pic>
              </a:graphicData>
            </a:graphic>
          </wp:inline>
        </w:drawing>
      </w:r>
    </w:p>
    <w:p w14:paraId="27FEF7E1" w14:textId="4DCB5248" w:rsidR="006541C1" w:rsidRDefault="006E567A" w:rsidP="006E567A">
      <w:pPr>
        <w:jc w:val="center"/>
        <w:rPr>
          <w:rFonts w:ascii="Times New Roman" w:hAnsi="Times New Roman" w:cs="Times New Roman"/>
        </w:rPr>
      </w:pPr>
      <w:r w:rsidRPr="008252BA">
        <w:rPr>
          <w:rFonts w:ascii="Times New Roman" w:hAnsi="Times New Roman" w:cs="Times New Roman"/>
          <w:b/>
          <w:bCs/>
        </w:rPr>
        <w:t xml:space="preserve">Figura 1. </w:t>
      </w:r>
      <w:r w:rsidRPr="006E567A">
        <w:rPr>
          <w:rFonts w:ascii="Times New Roman" w:hAnsi="Times New Roman" w:cs="Times New Roman"/>
        </w:rPr>
        <w:t xml:space="preserve"> Sistemas orgánicos, con mayor gasto cardiaco y mayormente vascularizados, comprometidos en la Diabetes Mellitus</w:t>
      </w:r>
    </w:p>
    <w:p w14:paraId="0C206382" w14:textId="5196336A" w:rsidR="006E567A" w:rsidRDefault="006E567A" w:rsidP="006E567A">
      <w:pPr>
        <w:jc w:val="center"/>
        <w:rPr>
          <w:rFonts w:ascii="Times New Roman" w:hAnsi="Times New Roman" w:cs="Times New Roman"/>
        </w:rPr>
      </w:pPr>
    </w:p>
    <w:p w14:paraId="0A3F4466" w14:textId="382FBD32" w:rsidR="006E567A" w:rsidRDefault="006E567A" w:rsidP="006E567A">
      <w:pPr>
        <w:jc w:val="center"/>
        <w:rPr>
          <w:rFonts w:ascii="Times New Roman" w:hAnsi="Times New Roman" w:cs="Times New Roman"/>
        </w:rPr>
      </w:pPr>
    </w:p>
    <w:p w14:paraId="5EF6E7C6" w14:textId="77777777" w:rsidR="00E61547" w:rsidRDefault="00E61547" w:rsidP="006E567A">
      <w:pPr>
        <w:jc w:val="center"/>
        <w:rPr>
          <w:rFonts w:ascii="Times New Roman" w:hAnsi="Times New Roman" w:cs="Times New Roman"/>
          <w:b/>
          <w:bCs/>
        </w:rPr>
      </w:pPr>
    </w:p>
    <w:p w14:paraId="7B9E5D47" w14:textId="77777777" w:rsidR="00E61547" w:rsidRDefault="00E61547" w:rsidP="006E567A">
      <w:pPr>
        <w:jc w:val="center"/>
        <w:rPr>
          <w:rFonts w:ascii="Times New Roman" w:hAnsi="Times New Roman" w:cs="Times New Roman"/>
          <w:b/>
          <w:bCs/>
        </w:rPr>
      </w:pPr>
    </w:p>
    <w:p w14:paraId="505A7736" w14:textId="77777777" w:rsidR="00E61547" w:rsidRDefault="00E61547" w:rsidP="006E567A">
      <w:pPr>
        <w:jc w:val="center"/>
        <w:rPr>
          <w:rFonts w:ascii="Times New Roman" w:hAnsi="Times New Roman" w:cs="Times New Roman"/>
          <w:b/>
          <w:bCs/>
        </w:rPr>
      </w:pPr>
    </w:p>
    <w:p w14:paraId="36F7FAF6" w14:textId="77777777" w:rsidR="00E61547" w:rsidRDefault="00E61547" w:rsidP="006E567A">
      <w:pPr>
        <w:jc w:val="center"/>
        <w:rPr>
          <w:rFonts w:ascii="Times New Roman" w:hAnsi="Times New Roman" w:cs="Times New Roman"/>
          <w:b/>
          <w:bCs/>
        </w:rPr>
      </w:pPr>
    </w:p>
    <w:p w14:paraId="1F5CEA63" w14:textId="77777777" w:rsidR="00E61547" w:rsidRDefault="00E61547" w:rsidP="006E567A">
      <w:pPr>
        <w:jc w:val="center"/>
        <w:rPr>
          <w:rFonts w:ascii="Times New Roman" w:hAnsi="Times New Roman" w:cs="Times New Roman"/>
          <w:b/>
          <w:bCs/>
        </w:rPr>
      </w:pPr>
    </w:p>
    <w:p w14:paraId="59555DC8" w14:textId="77777777" w:rsidR="00E61547" w:rsidRDefault="00E61547" w:rsidP="006E567A">
      <w:pPr>
        <w:jc w:val="center"/>
        <w:rPr>
          <w:rFonts w:ascii="Times New Roman" w:hAnsi="Times New Roman" w:cs="Times New Roman"/>
          <w:b/>
          <w:bCs/>
        </w:rPr>
      </w:pPr>
    </w:p>
    <w:p w14:paraId="63B3EFD9" w14:textId="77777777" w:rsidR="00E61547" w:rsidRDefault="00E61547" w:rsidP="006E567A">
      <w:pPr>
        <w:jc w:val="center"/>
        <w:rPr>
          <w:rFonts w:ascii="Times New Roman" w:hAnsi="Times New Roman" w:cs="Times New Roman"/>
          <w:b/>
          <w:bCs/>
        </w:rPr>
      </w:pPr>
    </w:p>
    <w:p w14:paraId="28C7F437" w14:textId="77777777" w:rsidR="00E61547" w:rsidRDefault="00E61547" w:rsidP="006E567A">
      <w:pPr>
        <w:jc w:val="center"/>
        <w:rPr>
          <w:rFonts w:ascii="Times New Roman" w:hAnsi="Times New Roman" w:cs="Times New Roman"/>
          <w:b/>
          <w:bCs/>
        </w:rPr>
      </w:pPr>
    </w:p>
    <w:p w14:paraId="42E69E86" w14:textId="7CF4549A" w:rsidR="00E61547" w:rsidRDefault="00EB3674" w:rsidP="006E567A">
      <w:pPr>
        <w:jc w:val="center"/>
        <w:rPr>
          <w:rFonts w:ascii="Times New Roman" w:hAnsi="Times New Roman" w:cs="Times New Roman"/>
          <w:b/>
          <w:bCs/>
        </w:rPr>
      </w:pPr>
      <w:r w:rsidRPr="000A570D">
        <w:rPr>
          <w:rFonts w:ascii="Arial" w:hAnsi="Arial" w:cs="Arial"/>
          <w:noProof/>
        </w:rPr>
        <w:lastRenderedPageBreak/>
        <w:drawing>
          <wp:inline distT="0" distB="0" distL="0" distR="0" wp14:anchorId="445E909E" wp14:editId="7ADED895">
            <wp:extent cx="3200400" cy="2641013"/>
            <wp:effectExtent l="0" t="0" r="0" b="6985"/>
            <wp:docPr id="4098" name="Picture 2" descr="Posibles opciones de tratamiento para el COVID-19 | combateCOVID.hhs.gov">
              <a:extLst xmlns:a="http://schemas.openxmlformats.org/drawingml/2006/main">
                <a:ext uri="{FF2B5EF4-FFF2-40B4-BE49-F238E27FC236}">
                  <a16:creationId xmlns:a16="http://schemas.microsoft.com/office/drawing/2014/main" id="{DC371EAF-834B-96D7-5CEC-6CB04D367D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Posibles opciones de tratamiento para el COVID-19 | combateCOVID.hhs.gov">
                      <a:extLst>
                        <a:ext uri="{FF2B5EF4-FFF2-40B4-BE49-F238E27FC236}">
                          <a16:creationId xmlns:a16="http://schemas.microsoft.com/office/drawing/2014/main" id="{DC371EAF-834B-96D7-5CEC-6CB04D367D17}"/>
                        </a:ext>
                      </a:extLst>
                    </pic:cNvPr>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aturation sat="33000"/>
                              </a14:imgEffect>
                              <a14:imgEffect>
                                <a14:brightnessContrast contrast="40000"/>
                              </a14:imgEffect>
                            </a14:imgLayer>
                          </a14:imgProps>
                        </a:ext>
                        <a:ext uri="{28A0092B-C50C-407E-A947-70E740481C1C}">
                          <a14:useLocalDpi xmlns:a14="http://schemas.microsoft.com/office/drawing/2010/main" val="0"/>
                        </a:ext>
                      </a:extLst>
                    </a:blip>
                    <a:srcRect t="14638"/>
                    <a:stretch/>
                  </pic:blipFill>
                  <pic:spPr bwMode="auto">
                    <a:xfrm>
                      <a:off x="0" y="0"/>
                      <a:ext cx="3212624" cy="2651100"/>
                    </a:xfrm>
                    <a:prstGeom prst="rect">
                      <a:avLst/>
                    </a:prstGeom>
                    <a:noFill/>
                    <a:ln>
                      <a:noFill/>
                    </a:ln>
                    <a:extLst>
                      <a:ext uri="{53640926-AAD7-44D8-BBD7-CCE9431645EC}">
                        <a14:shadowObscured xmlns:a14="http://schemas.microsoft.com/office/drawing/2010/main"/>
                      </a:ext>
                    </a:extLst>
                  </pic:spPr>
                </pic:pic>
              </a:graphicData>
            </a:graphic>
          </wp:inline>
        </w:drawing>
      </w:r>
    </w:p>
    <w:p w14:paraId="1A79ED3A" w14:textId="19F0B89A" w:rsidR="006E567A" w:rsidRPr="006E567A" w:rsidRDefault="006E567A" w:rsidP="006E567A">
      <w:pPr>
        <w:jc w:val="center"/>
        <w:rPr>
          <w:rFonts w:ascii="Times New Roman" w:hAnsi="Times New Roman" w:cs="Times New Roman"/>
        </w:rPr>
      </w:pPr>
      <w:r w:rsidRPr="008252BA">
        <w:rPr>
          <w:rFonts w:ascii="Times New Roman" w:hAnsi="Times New Roman" w:cs="Times New Roman"/>
          <w:b/>
          <w:bCs/>
        </w:rPr>
        <w:t>Tabla 1.</w:t>
      </w:r>
      <w:r w:rsidRPr="006E567A">
        <w:rPr>
          <w:rFonts w:ascii="Times New Roman" w:hAnsi="Times New Roman" w:cs="Times New Roman"/>
        </w:rPr>
        <w:t xml:space="preserve"> Opciones de Tratamiento específicos para pacientes con Covid-19</w:t>
      </w:r>
    </w:p>
    <w:p w14:paraId="3E7EE086" w14:textId="179496F7" w:rsidR="006E567A" w:rsidRPr="006E567A" w:rsidRDefault="006E567A" w:rsidP="006E567A">
      <w:pPr>
        <w:jc w:val="center"/>
        <w:rPr>
          <w:rFonts w:ascii="Times New Roman" w:hAnsi="Times New Roman" w:cs="Times New Roman"/>
        </w:rPr>
      </w:pPr>
    </w:p>
    <w:p w14:paraId="7B7847C7" w14:textId="77777777" w:rsidR="006541C1" w:rsidRDefault="006541C1" w:rsidP="006541C1"/>
    <w:p w14:paraId="5066A3B7" w14:textId="77777777" w:rsidR="006541C1" w:rsidRDefault="006541C1" w:rsidP="006541C1"/>
    <w:p w14:paraId="596739F6" w14:textId="45B70EBC" w:rsidR="00BF2868" w:rsidRDefault="00BF2868"/>
    <w:p w14:paraId="1ABD129F" w14:textId="62802CCF" w:rsidR="00AF33BB" w:rsidRDefault="00AF33BB"/>
    <w:p w14:paraId="6A43F33D" w14:textId="4BD75688" w:rsidR="00AF33BB" w:rsidRDefault="00AF33BB"/>
    <w:p w14:paraId="1F1F8469" w14:textId="1727844B" w:rsidR="00AF33BB" w:rsidRDefault="00AF33BB"/>
    <w:p w14:paraId="620AE40C" w14:textId="56DB800B" w:rsidR="00AF33BB" w:rsidRDefault="00AF33BB"/>
    <w:p w14:paraId="3DCBFE1D" w14:textId="29616E6C" w:rsidR="00AF33BB" w:rsidRPr="008068A8" w:rsidRDefault="00AF33BB">
      <w:pPr>
        <w:rPr>
          <w:rFonts w:ascii="Times New Roman" w:hAnsi="Times New Roman" w:cs="Times New Roman"/>
        </w:rPr>
      </w:pPr>
    </w:p>
    <w:sectPr w:rsidR="00AF33BB" w:rsidRPr="008068A8" w:rsidSect="00A4231E">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DDE0" w14:textId="77777777" w:rsidR="0060509D" w:rsidRDefault="0060509D" w:rsidP="003522FA">
      <w:pPr>
        <w:spacing w:after="0" w:line="240" w:lineRule="auto"/>
      </w:pPr>
      <w:r>
        <w:separator/>
      </w:r>
    </w:p>
  </w:endnote>
  <w:endnote w:type="continuationSeparator" w:id="0">
    <w:p w14:paraId="750541FD" w14:textId="77777777" w:rsidR="0060509D" w:rsidRDefault="0060509D" w:rsidP="0035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39328"/>
      <w:docPartObj>
        <w:docPartGallery w:val="Page Numbers (Bottom of Page)"/>
        <w:docPartUnique/>
      </w:docPartObj>
    </w:sdtPr>
    <w:sdtContent>
      <w:p w14:paraId="620CFCC2" w14:textId="77777777" w:rsidR="004D30C9" w:rsidRDefault="004D30C9">
        <w:pPr>
          <w:pStyle w:val="Piedepgina"/>
          <w:jc w:val="right"/>
        </w:pPr>
        <w:r>
          <w:fldChar w:fldCharType="begin"/>
        </w:r>
        <w:r>
          <w:instrText>PAGE   \* MERGEFORMAT</w:instrText>
        </w:r>
        <w:r>
          <w:fldChar w:fldCharType="separate"/>
        </w:r>
        <w:r w:rsidR="00BA10B6" w:rsidRPr="00BA10B6">
          <w:rPr>
            <w:noProof/>
            <w:lang w:val="es-ES"/>
          </w:rPr>
          <w:t>1</w:t>
        </w:r>
        <w:r>
          <w:fldChar w:fldCharType="end"/>
        </w:r>
      </w:p>
    </w:sdtContent>
  </w:sdt>
  <w:p w14:paraId="27498761" w14:textId="77777777" w:rsidR="004D30C9" w:rsidRDefault="004D3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D106" w14:textId="77777777" w:rsidR="0060509D" w:rsidRDefault="0060509D" w:rsidP="003522FA">
      <w:pPr>
        <w:spacing w:after="0" w:line="240" w:lineRule="auto"/>
      </w:pPr>
      <w:r>
        <w:separator/>
      </w:r>
    </w:p>
  </w:footnote>
  <w:footnote w:type="continuationSeparator" w:id="0">
    <w:p w14:paraId="448D0605" w14:textId="77777777" w:rsidR="0060509D" w:rsidRDefault="0060509D" w:rsidP="0035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8402"/>
      <w:gridCol w:w="218"/>
      <w:gridCol w:w="218"/>
    </w:tblGrid>
    <w:tr w:rsidR="003522FA" w14:paraId="6A699868" w14:textId="77777777" w:rsidTr="007F56CF">
      <w:tc>
        <w:tcPr>
          <w:tcW w:w="876" w:type="dxa"/>
          <w:tcBorders>
            <w:top w:val="nil"/>
            <w:left w:val="nil"/>
            <w:bottom w:val="nil"/>
            <w:right w:val="nil"/>
          </w:tcBorders>
          <w:vAlign w:val="bottom"/>
        </w:tcPr>
        <w:tbl>
          <w:tblPr>
            <w:tblStyle w:val="Tablaconcuadrculaclara"/>
            <w:tblW w:w="27024" w:type="dxa"/>
            <w:tblLook w:val="04A0" w:firstRow="1" w:lastRow="0" w:firstColumn="1" w:lastColumn="0" w:noHBand="0" w:noVBand="1"/>
          </w:tblPr>
          <w:tblGrid>
            <w:gridCol w:w="1146"/>
            <w:gridCol w:w="2569"/>
            <w:gridCol w:w="1422"/>
            <w:gridCol w:w="11929"/>
            <w:gridCol w:w="9958"/>
          </w:tblGrid>
          <w:tr w:rsidR="004D30C9" w14:paraId="450E23C7" w14:textId="77777777" w:rsidTr="005F0A23">
            <w:tc>
              <w:tcPr>
                <w:tcW w:w="1146" w:type="dxa"/>
                <w:tcBorders>
                  <w:top w:val="nil"/>
                  <w:left w:val="nil"/>
                  <w:bottom w:val="nil"/>
                  <w:right w:val="nil"/>
                </w:tcBorders>
              </w:tcPr>
              <w:p w14:paraId="3CC11D58" w14:textId="77777777" w:rsidR="004D30C9" w:rsidRPr="00FA0A9C" w:rsidRDefault="004D30C9" w:rsidP="003522FA">
                <w:pPr>
                  <w:pStyle w:val="Encabezado"/>
                  <w:rPr>
                    <w:sz w:val="20"/>
                    <w:szCs w:val="20"/>
                  </w:rPr>
                </w:pPr>
                <w:r>
                  <w:rPr>
                    <w:noProof/>
                    <w:lang w:eastAsia="zh-CN"/>
                  </w:rPr>
                  <w:drawing>
                    <wp:inline distT="0" distB="0" distL="0" distR="0" wp14:anchorId="4FE6D098" wp14:editId="64DD34BA">
                      <wp:extent cx="590550" cy="590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jp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tc>
            <w:tc>
              <w:tcPr>
                <w:tcW w:w="2569" w:type="dxa"/>
                <w:tcBorders>
                  <w:top w:val="nil"/>
                  <w:left w:val="nil"/>
                  <w:bottom w:val="nil"/>
                  <w:right w:val="nil"/>
                </w:tcBorders>
              </w:tcPr>
              <w:p w14:paraId="578F9162" w14:textId="77777777" w:rsidR="004D30C9" w:rsidRDefault="004D30C9" w:rsidP="003522FA">
                <w:pPr>
                  <w:pStyle w:val="Encabezado"/>
                  <w:rPr>
                    <w:sz w:val="20"/>
                    <w:szCs w:val="20"/>
                  </w:rPr>
                </w:pPr>
                <w:r w:rsidRPr="00FA0A9C">
                  <w:rPr>
                    <w:sz w:val="20"/>
                    <w:szCs w:val="20"/>
                  </w:rPr>
                  <w:t>Naturaleza y Tecnología</w:t>
                </w:r>
              </w:p>
              <w:p w14:paraId="39C94354" w14:textId="77777777" w:rsidR="004D30C9" w:rsidRDefault="004D30C9" w:rsidP="003522FA">
                <w:pPr>
                  <w:pStyle w:val="Encabezado"/>
                  <w:rPr>
                    <w:sz w:val="20"/>
                    <w:szCs w:val="20"/>
                  </w:rPr>
                </w:pPr>
                <w:r>
                  <w:rPr>
                    <w:sz w:val="20"/>
                    <w:szCs w:val="20"/>
                  </w:rPr>
                  <w:t>Número Especial</w:t>
                </w:r>
              </w:p>
              <w:p w14:paraId="7928C87A" w14:textId="77777777" w:rsidR="004D30C9" w:rsidRDefault="004D30C9" w:rsidP="004D30C9">
                <w:pPr>
                  <w:pStyle w:val="Encabezado"/>
                  <w:rPr>
                    <w:sz w:val="20"/>
                    <w:szCs w:val="20"/>
                  </w:rPr>
                </w:pPr>
                <w:r>
                  <w:rPr>
                    <w:sz w:val="20"/>
                    <w:szCs w:val="20"/>
                  </w:rPr>
                  <w:t>ISSN 2007-672X</w:t>
                </w:r>
              </w:p>
              <w:p w14:paraId="2C9FDDCB" w14:textId="77777777" w:rsidR="004D30C9" w:rsidRDefault="004D30C9" w:rsidP="004D30C9">
                <w:pPr>
                  <w:pStyle w:val="Encabezado"/>
                  <w:rPr>
                    <w:sz w:val="20"/>
                    <w:szCs w:val="20"/>
                  </w:rPr>
                </w:pPr>
                <w:r>
                  <w:rPr>
                    <w:sz w:val="20"/>
                    <w:szCs w:val="20"/>
                  </w:rPr>
                  <w:t>Universidad de Guanajuato</w:t>
                </w:r>
              </w:p>
            </w:tc>
            <w:tc>
              <w:tcPr>
                <w:tcW w:w="1422" w:type="dxa"/>
                <w:tcBorders>
                  <w:top w:val="nil"/>
                  <w:left w:val="nil"/>
                  <w:bottom w:val="nil"/>
                  <w:right w:val="nil"/>
                </w:tcBorders>
              </w:tcPr>
              <w:p w14:paraId="0C0C76C3" w14:textId="77777777" w:rsidR="004D30C9" w:rsidRDefault="004D30C9" w:rsidP="003522FA">
                <w:pPr>
                  <w:pStyle w:val="Encabezado"/>
                </w:pPr>
              </w:p>
            </w:tc>
            <w:tc>
              <w:tcPr>
                <w:tcW w:w="11929" w:type="dxa"/>
                <w:tcBorders>
                  <w:top w:val="nil"/>
                  <w:left w:val="nil"/>
                  <w:bottom w:val="nil"/>
                  <w:right w:val="nil"/>
                </w:tcBorders>
              </w:tcPr>
              <w:p w14:paraId="5534CB4A" w14:textId="77777777" w:rsidR="004D30C9" w:rsidRPr="005F0A23" w:rsidRDefault="005F0A23" w:rsidP="003522FA">
                <w:pPr>
                  <w:pStyle w:val="Encabezado"/>
                  <w:rPr>
                    <w:b/>
                    <w:sz w:val="20"/>
                    <w:szCs w:val="20"/>
                  </w:rPr>
                </w:pPr>
                <w:r>
                  <w:rPr>
                    <w:sz w:val="20"/>
                    <w:szCs w:val="20"/>
                  </w:rPr>
                  <w:t xml:space="preserve">       </w:t>
                </w:r>
                <w:r w:rsidRPr="005F0A23">
                  <w:rPr>
                    <w:b/>
                    <w:sz w:val="20"/>
                    <w:szCs w:val="20"/>
                  </w:rPr>
                  <w:t>Taller simposio internacional</w:t>
                </w:r>
              </w:p>
              <w:p w14:paraId="6567B56A" w14:textId="77777777" w:rsidR="005F0A23" w:rsidRDefault="005F0A23" w:rsidP="003522FA">
                <w:pPr>
                  <w:pStyle w:val="Encabezado"/>
                  <w:rPr>
                    <w:sz w:val="20"/>
                    <w:szCs w:val="20"/>
                  </w:rPr>
                </w:pPr>
                <w:r>
                  <w:rPr>
                    <w:sz w:val="20"/>
                    <w:szCs w:val="20"/>
                  </w:rPr>
                  <w:t xml:space="preserve">    “ESTRATEGIAS SINTÉTICAS DE </w:t>
                </w:r>
              </w:p>
              <w:p w14:paraId="56A7940D" w14:textId="77777777" w:rsidR="005F0A23" w:rsidRDefault="005F0A23" w:rsidP="003522FA">
                <w:pPr>
                  <w:pStyle w:val="Encabezado"/>
                  <w:rPr>
                    <w:sz w:val="20"/>
                    <w:szCs w:val="20"/>
                  </w:rPr>
                </w:pPr>
                <w:r>
                  <w:rPr>
                    <w:sz w:val="20"/>
                    <w:szCs w:val="20"/>
                  </w:rPr>
                  <w:t xml:space="preserve"> FRONTERA EN QUÍMICA ORGÁNICA”</w:t>
                </w:r>
              </w:p>
              <w:p w14:paraId="75E789D1" w14:textId="77777777" w:rsidR="00BA10B6" w:rsidRPr="00FA0A9C" w:rsidRDefault="00BA10B6" w:rsidP="003522FA">
                <w:pPr>
                  <w:pStyle w:val="Encabezado"/>
                  <w:rPr>
                    <w:sz w:val="20"/>
                    <w:szCs w:val="20"/>
                  </w:rPr>
                </w:pPr>
                <w:r>
                  <w:rPr>
                    <w:sz w:val="20"/>
                    <w:szCs w:val="20"/>
                  </w:rPr>
                  <w:t xml:space="preserve">      MEMORIAS, Noviembre 2022</w:t>
                </w:r>
              </w:p>
            </w:tc>
            <w:tc>
              <w:tcPr>
                <w:tcW w:w="9958" w:type="dxa"/>
                <w:tcBorders>
                  <w:left w:val="nil"/>
                </w:tcBorders>
              </w:tcPr>
              <w:p w14:paraId="4E9F01A0" w14:textId="77777777" w:rsidR="004D30C9" w:rsidRPr="00FA0A9C" w:rsidRDefault="004D30C9" w:rsidP="003522FA">
                <w:pPr>
                  <w:pStyle w:val="Encabezado"/>
                  <w:rPr>
                    <w:sz w:val="20"/>
                    <w:szCs w:val="20"/>
                  </w:rPr>
                </w:pPr>
              </w:p>
            </w:tc>
          </w:tr>
        </w:tbl>
        <w:p w14:paraId="4A7F5C2A" w14:textId="77777777" w:rsidR="003522FA" w:rsidRPr="0034040F" w:rsidRDefault="003522FA" w:rsidP="003522FA">
          <w:pPr>
            <w:pStyle w:val="Encabezado"/>
            <w:rPr>
              <w:sz w:val="20"/>
              <w:szCs w:val="20"/>
              <w:lang w:val="es-MX"/>
            </w:rPr>
          </w:pPr>
        </w:p>
      </w:tc>
      <w:tc>
        <w:tcPr>
          <w:tcW w:w="4882" w:type="dxa"/>
          <w:tcBorders>
            <w:top w:val="nil"/>
            <w:left w:val="nil"/>
            <w:bottom w:val="nil"/>
            <w:right w:val="nil"/>
          </w:tcBorders>
        </w:tcPr>
        <w:p w14:paraId="12FF8D0E" w14:textId="77777777" w:rsidR="003522FA" w:rsidRPr="005F0A23" w:rsidRDefault="003522FA" w:rsidP="003522FA">
          <w:pPr>
            <w:pStyle w:val="Encabezado"/>
            <w:rPr>
              <w:lang w:val="es-MX"/>
            </w:rPr>
          </w:pPr>
        </w:p>
      </w:tc>
      <w:tc>
        <w:tcPr>
          <w:tcW w:w="2880" w:type="dxa"/>
          <w:tcBorders>
            <w:top w:val="nil"/>
            <w:left w:val="nil"/>
            <w:bottom w:val="nil"/>
            <w:right w:val="nil"/>
          </w:tcBorders>
        </w:tcPr>
        <w:p w14:paraId="70D304BC" w14:textId="77777777" w:rsidR="003522FA" w:rsidRDefault="003522FA" w:rsidP="003522FA">
          <w:pPr>
            <w:pStyle w:val="Encabezado"/>
          </w:pPr>
        </w:p>
      </w:tc>
    </w:tr>
  </w:tbl>
  <w:p w14:paraId="7008AE36" w14:textId="77777777" w:rsidR="003522FA" w:rsidRDefault="003522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FA"/>
    <w:rsid w:val="0000351A"/>
    <w:rsid w:val="0000387F"/>
    <w:rsid w:val="00004495"/>
    <w:rsid w:val="00004BB1"/>
    <w:rsid w:val="00016F25"/>
    <w:rsid w:val="00017A4F"/>
    <w:rsid w:val="00032CA7"/>
    <w:rsid w:val="000419E6"/>
    <w:rsid w:val="00045210"/>
    <w:rsid w:val="000471FB"/>
    <w:rsid w:val="000516BA"/>
    <w:rsid w:val="00051F0D"/>
    <w:rsid w:val="00060534"/>
    <w:rsid w:val="000644D3"/>
    <w:rsid w:val="0007057B"/>
    <w:rsid w:val="00073B3B"/>
    <w:rsid w:val="00075422"/>
    <w:rsid w:val="0007550F"/>
    <w:rsid w:val="00075B41"/>
    <w:rsid w:val="00082209"/>
    <w:rsid w:val="00087251"/>
    <w:rsid w:val="0009105E"/>
    <w:rsid w:val="00091539"/>
    <w:rsid w:val="00091886"/>
    <w:rsid w:val="0009191F"/>
    <w:rsid w:val="00093114"/>
    <w:rsid w:val="000A01A8"/>
    <w:rsid w:val="000A1208"/>
    <w:rsid w:val="000A35BB"/>
    <w:rsid w:val="000C49C1"/>
    <w:rsid w:val="000D0AE2"/>
    <w:rsid w:val="000D5F95"/>
    <w:rsid w:val="000F0440"/>
    <w:rsid w:val="00100630"/>
    <w:rsid w:val="001006D6"/>
    <w:rsid w:val="001145AE"/>
    <w:rsid w:val="00117D2F"/>
    <w:rsid w:val="00131086"/>
    <w:rsid w:val="00135FBD"/>
    <w:rsid w:val="00141CDA"/>
    <w:rsid w:val="001436F9"/>
    <w:rsid w:val="00163B18"/>
    <w:rsid w:val="0017050D"/>
    <w:rsid w:val="001709FF"/>
    <w:rsid w:val="00171BC0"/>
    <w:rsid w:val="0017284C"/>
    <w:rsid w:val="00172C69"/>
    <w:rsid w:val="00174318"/>
    <w:rsid w:val="00176C55"/>
    <w:rsid w:val="0018455A"/>
    <w:rsid w:val="0019324C"/>
    <w:rsid w:val="001A3138"/>
    <w:rsid w:val="001A41A1"/>
    <w:rsid w:val="001A7956"/>
    <w:rsid w:val="001B2FC6"/>
    <w:rsid w:val="001B3608"/>
    <w:rsid w:val="001B6350"/>
    <w:rsid w:val="001D0B61"/>
    <w:rsid w:val="001D2743"/>
    <w:rsid w:val="001E4359"/>
    <w:rsid w:val="001E6DE1"/>
    <w:rsid w:val="001E6DFB"/>
    <w:rsid w:val="001E7327"/>
    <w:rsid w:val="001E7951"/>
    <w:rsid w:val="001F7B46"/>
    <w:rsid w:val="002021C8"/>
    <w:rsid w:val="00203061"/>
    <w:rsid w:val="002037A2"/>
    <w:rsid w:val="0020578D"/>
    <w:rsid w:val="00206581"/>
    <w:rsid w:val="00207AE0"/>
    <w:rsid w:val="0021461D"/>
    <w:rsid w:val="00217A1B"/>
    <w:rsid w:val="00233035"/>
    <w:rsid w:val="00235A3C"/>
    <w:rsid w:val="00237245"/>
    <w:rsid w:val="0024169D"/>
    <w:rsid w:val="00242885"/>
    <w:rsid w:val="00245AF1"/>
    <w:rsid w:val="00252E27"/>
    <w:rsid w:val="00257EAD"/>
    <w:rsid w:val="00263A4B"/>
    <w:rsid w:val="00270910"/>
    <w:rsid w:val="00275D19"/>
    <w:rsid w:val="0028007F"/>
    <w:rsid w:val="002844DB"/>
    <w:rsid w:val="002906FB"/>
    <w:rsid w:val="0029392E"/>
    <w:rsid w:val="00293BF3"/>
    <w:rsid w:val="002976BA"/>
    <w:rsid w:val="002A4AD8"/>
    <w:rsid w:val="002A506F"/>
    <w:rsid w:val="002B7BE1"/>
    <w:rsid w:val="002C33C0"/>
    <w:rsid w:val="002C794E"/>
    <w:rsid w:val="002D3FFD"/>
    <w:rsid w:val="002D40E3"/>
    <w:rsid w:val="002E4D99"/>
    <w:rsid w:val="002E6905"/>
    <w:rsid w:val="002F5779"/>
    <w:rsid w:val="002F5C85"/>
    <w:rsid w:val="00300F51"/>
    <w:rsid w:val="003020BE"/>
    <w:rsid w:val="00305B4A"/>
    <w:rsid w:val="00307B54"/>
    <w:rsid w:val="00313A4A"/>
    <w:rsid w:val="0031600D"/>
    <w:rsid w:val="00321BDA"/>
    <w:rsid w:val="0032345B"/>
    <w:rsid w:val="003267F4"/>
    <w:rsid w:val="00331C14"/>
    <w:rsid w:val="00331F69"/>
    <w:rsid w:val="00337AC2"/>
    <w:rsid w:val="00342FB3"/>
    <w:rsid w:val="0034514A"/>
    <w:rsid w:val="003522FA"/>
    <w:rsid w:val="00352D5C"/>
    <w:rsid w:val="00354709"/>
    <w:rsid w:val="0035499A"/>
    <w:rsid w:val="0036123A"/>
    <w:rsid w:val="0036278A"/>
    <w:rsid w:val="00370B94"/>
    <w:rsid w:val="00376025"/>
    <w:rsid w:val="00376307"/>
    <w:rsid w:val="00377ECB"/>
    <w:rsid w:val="00381262"/>
    <w:rsid w:val="0038195A"/>
    <w:rsid w:val="003826C8"/>
    <w:rsid w:val="0038755B"/>
    <w:rsid w:val="003918D1"/>
    <w:rsid w:val="003968BE"/>
    <w:rsid w:val="00396EF3"/>
    <w:rsid w:val="003A2DD6"/>
    <w:rsid w:val="003A432C"/>
    <w:rsid w:val="003A563C"/>
    <w:rsid w:val="003B031D"/>
    <w:rsid w:val="003C3417"/>
    <w:rsid w:val="003C3FFD"/>
    <w:rsid w:val="003D0B3A"/>
    <w:rsid w:val="003E0C3B"/>
    <w:rsid w:val="003F26B3"/>
    <w:rsid w:val="003F619A"/>
    <w:rsid w:val="004030D0"/>
    <w:rsid w:val="00410257"/>
    <w:rsid w:val="004125F3"/>
    <w:rsid w:val="0042353A"/>
    <w:rsid w:val="00426F1C"/>
    <w:rsid w:val="00430207"/>
    <w:rsid w:val="00437305"/>
    <w:rsid w:val="00454A2E"/>
    <w:rsid w:val="00457686"/>
    <w:rsid w:val="00464465"/>
    <w:rsid w:val="00471F8A"/>
    <w:rsid w:val="0048175F"/>
    <w:rsid w:val="00483BAC"/>
    <w:rsid w:val="00485CF6"/>
    <w:rsid w:val="0048685E"/>
    <w:rsid w:val="00490B1E"/>
    <w:rsid w:val="004915E4"/>
    <w:rsid w:val="004A28F7"/>
    <w:rsid w:val="004B02B9"/>
    <w:rsid w:val="004B0777"/>
    <w:rsid w:val="004B2E76"/>
    <w:rsid w:val="004B33BE"/>
    <w:rsid w:val="004C0BD2"/>
    <w:rsid w:val="004D30C9"/>
    <w:rsid w:val="004D41B2"/>
    <w:rsid w:val="004D5AED"/>
    <w:rsid w:val="004E0161"/>
    <w:rsid w:val="004E2329"/>
    <w:rsid w:val="004E2AF2"/>
    <w:rsid w:val="004E4152"/>
    <w:rsid w:val="004E5555"/>
    <w:rsid w:val="004E59F1"/>
    <w:rsid w:val="004F27DD"/>
    <w:rsid w:val="004F29C5"/>
    <w:rsid w:val="004F59A7"/>
    <w:rsid w:val="00506D98"/>
    <w:rsid w:val="005138E4"/>
    <w:rsid w:val="005158DE"/>
    <w:rsid w:val="00516BE0"/>
    <w:rsid w:val="005174F5"/>
    <w:rsid w:val="005176D0"/>
    <w:rsid w:val="00522889"/>
    <w:rsid w:val="005257E7"/>
    <w:rsid w:val="00534075"/>
    <w:rsid w:val="00535F18"/>
    <w:rsid w:val="0054319A"/>
    <w:rsid w:val="00543AF2"/>
    <w:rsid w:val="0054434E"/>
    <w:rsid w:val="00544A33"/>
    <w:rsid w:val="00557E79"/>
    <w:rsid w:val="00566501"/>
    <w:rsid w:val="00571C32"/>
    <w:rsid w:val="00583A62"/>
    <w:rsid w:val="005901C5"/>
    <w:rsid w:val="00591C6E"/>
    <w:rsid w:val="005979BE"/>
    <w:rsid w:val="00597A73"/>
    <w:rsid w:val="005A30C7"/>
    <w:rsid w:val="005A382D"/>
    <w:rsid w:val="005A47B0"/>
    <w:rsid w:val="005A73A2"/>
    <w:rsid w:val="005C0B0F"/>
    <w:rsid w:val="005C459B"/>
    <w:rsid w:val="005C7278"/>
    <w:rsid w:val="005D0FE9"/>
    <w:rsid w:val="005D48CB"/>
    <w:rsid w:val="005D796F"/>
    <w:rsid w:val="005E2624"/>
    <w:rsid w:val="005E2B18"/>
    <w:rsid w:val="005E38B1"/>
    <w:rsid w:val="005F0A23"/>
    <w:rsid w:val="005F1BD5"/>
    <w:rsid w:val="005F2222"/>
    <w:rsid w:val="005F7ADA"/>
    <w:rsid w:val="00600BBB"/>
    <w:rsid w:val="00601FC7"/>
    <w:rsid w:val="0060509D"/>
    <w:rsid w:val="00612C19"/>
    <w:rsid w:val="00614084"/>
    <w:rsid w:val="006152B1"/>
    <w:rsid w:val="00615B04"/>
    <w:rsid w:val="006232ED"/>
    <w:rsid w:val="00634201"/>
    <w:rsid w:val="00645FB7"/>
    <w:rsid w:val="00651001"/>
    <w:rsid w:val="00652E6B"/>
    <w:rsid w:val="006541C1"/>
    <w:rsid w:val="006546A5"/>
    <w:rsid w:val="00655D7E"/>
    <w:rsid w:val="0065621E"/>
    <w:rsid w:val="00662922"/>
    <w:rsid w:val="00665DAB"/>
    <w:rsid w:val="00672226"/>
    <w:rsid w:val="00694E45"/>
    <w:rsid w:val="006958EE"/>
    <w:rsid w:val="006A06E6"/>
    <w:rsid w:val="006A6AB6"/>
    <w:rsid w:val="006B16E1"/>
    <w:rsid w:val="006B58FA"/>
    <w:rsid w:val="006C5964"/>
    <w:rsid w:val="006D1C1F"/>
    <w:rsid w:val="006D59F9"/>
    <w:rsid w:val="006D7F65"/>
    <w:rsid w:val="006E4FBC"/>
    <w:rsid w:val="006E567A"/>
    <w:rsid w:val="006E6C2C"/>
    <w:rsid w:val="006E70B2"/>
    <w:rsid w:val="006F3EB9"/>
    <w:rsid w:val="006F50FF"/>
    <w:rsid w:val="006F65AF"/>
    <w:rsid w:val="006F677E"/>
    <w:rsid w:val="00703D4E"/>
    <w:rsid w:val="00705586"/>
    <w:rsid w:val="007068B9"/>
    <w:rsid w:val="00706EB5"/>
    <w:rsid w:val="007112EE"/>
    <w:rsid w:val="00712714"/>
    <w:rsid w:val="00713899"/>
    <w:rsid w:val="00717845"/>
    <w:rsid w:val="00723234"/>
    <w:rsid w:val="00726B33"/>
    <w:rsid w:val="00732F8F"/>
    <w:rsid w:val="00733E7D"/>
    <w:rsid w:val="007358F3"/>
    <w:rsid w:val="00736CFD"/>
    <w:rsid w:val="00737AA1"/>
    <w:rsid w:val="00740911"/>
    <w:rsid w:val="0074340E"/>
    <w:rsid w:val="00747A26"/>
    <w:rsid w:val="00750C03"/>
    <w:rsid w:val="00753543"/>
    <w:rsid w:val="00760527"/>
    <w:rsid w:val="00766BDD"/>
    <w:rsid w:val="00767040"/>
    <w:rsid w:val="00767E11"/>
    <w:rsid w:val="007779A6"/>
    <w:rsid w:val="00792C9C"/>
    <w:rsid w:val="00794747"/>
    <w:rsid w:val="007A14B2"/>
    <w:rsid w:val="007A195D"/>
    <w:rsid w:val="007A73C4"/>
    <w:rsid w:val="007B174C"/>
    <w:rsid w:val="007B6AAA"/>
    <w:rsid w:val="007B6DC1"/>
    <w:rsid w:val="007C13F8"/>
    <w:rsid w:val="007D3208"/>
    <w:rsid w:val="007D5E00"/>
    <w:rsid w:val="007D6A34"/>
    <w:rsid w:val="007D789A"/>
    <w:rsid w:val="007F2BF4"/>
    <w:rsid w:val="007F3066"/>
    <w:rsid w:val="007F61D4"/>
    <w:rsid w:val="007F7016"/>
    <w:rsid w:val="007F7937"/>
    <w:rsid w:val="008068A8"/>
    <w:rsid w:val="008120A9"/>
    <w:rsid w:val="00812CA3"/>
    <w:rsid w:val="00813440"/>
    <w:rsid w:val="00814453"/>
    <w:rsid w:val="008172AC"/>
    <w:rsid w:val="008173F6"/>
    <w:rsid w:val="00817F99"/>
    <w:rsid w:val="0082081F"/>
    <w:rsid w:val="00821B5E"/>
    <w:rsid w:val="00825114"/>
    <w:rsid w:val="008252BA"/>
    <w:rsid w:val="00836172"/>
    <w:rsid w:val="00845701"/>
    <w:rsid w:val="00845F9D"/>
    <w:rsid w:val="008505A8"/>
    <w:rsid w:val="00851E67"/>
    <w:rsid w:val="00853BDF"/>
    <w:rsid w:val="00855CB9"/>
    <w:rsid w:val="00860362"/>
    <w:rsid w:val="008615B5"/>
    <w:rsid w:val="00863892"/>
    <w:rsid w:val="008718D4"/>
    <w:rsid w:val="00876227"/>
    <w:rsid w:val="0088788D"/>
    <w:rsid w:val="00890980"/>
    <w:rsid w:val="00890C5E"/>
    <w:rsid w:val="00893180"/>
    <w:rsid w:val="008A291E"/>
    <w:rsid w:val="008A61C7"/>
    <w:rsid w:val="008B1A95"/>
    <w:rsid w:val="008B2745"/>
    <w:rsid w:val="008B4AA8"/>
    <w:rsid w:val="008B7EBC"/>
    <w:rsid w:val="008C19AF"/>
    <w:rsid w:val="008C55B9"/>
    <w:rsid w:val="008C5D7C"/>
    <w:rsid w:val="008D0826"/>
    <w:rsid w:val="008D0B2B"/>
    <w:rsid w:val="008D1533"/>
    <w:rsid w:val="008D296A"/>
    <w:rsid w:val="008F09E6"/>
    <w:rsid w:val="008F3420"/>
    <w:rsid w:val="008F60E9"/>
    <w:rsid w:val="008F72B6"/>
    <w:rsid w:val="00916E49"/>
    <w:rsid w:val="00917A38"/>
    <w:rsid w:val="0092056A"/>
    <w:rsid w:val="00920B52"/>
    <w:rsid w:val="00921797"/>
    <w:rsid w:val="00922C22"/>
    <w:rsid w:val="009238E6"/>
    <w:rsid w:val="00924BA5"/>
    <w:rsid w:val="00927434"/>
    <w:rsid w:val="00931E43"/>
    <w:rsid w:val="00932EFF"/>
    <w:rsid w:val="00934EB9"/>
    <w:rsid w:val="009360CD"/>
    <w:rsid w:val="00936CE2"/>
    <w:rsid w:val="00942FF4"/>
    <w:rsid w:val="009458BA"/>
    <w:rsid w:val="00950352"/>
    <w:rsid w:val="00953799"/>
    <w:rsid w:val="0096011A"/>
    <w:rsid w:val="00967329"/>
    <w:rsid w:val="00971534"/>
    <w:rsid w:val="00974F1A"/>
    <w:rsid w:val="009757D3"/>
    <w:rsid w:val="00977B72"/>
    <w:rsid w:val="0098171F"/>
    <w:rsid w:val="00986619"/>
    <w:rsid w:val="0099364E"/>
    <w:rsid w:val="009959AC"/>
    <w:rsid w:val="009A125A"/>
    <w:rsid w:val="009A2ECC"/>
    <w:rsid w:val="009A36C8"/>
    <w:rsid w:val="009A481A"/>
    <w:rsid w:val="009B01D2"/>
    <w:rsid w:val="009C04BB"/>
    <w:rsid w:val="009C3321"/>
    <w:rsid w:val="009C3CED"/>
    <w:rsid w:val="009C3D7D"/>
    <w:rsid w:val="009D1FA1"/>
    <w:rsid w:val="009D6E4C"/>
    <w:rsid w:val="009F7B79"/>
    <w:rsid w:val="00A05477"/>
    <w:rsid w:val="00A060A3"/>
    <w:rsid w:val="00A15A1A"/>
    <w:rsid w:val="00A16B03"/>
    <w:rsid w:val="00A1702B"/>
    <w:rsid w:val="00A20631"/>
    <w:rsid w:val="00A213ED"/>
    <w:rsid w:val="00A22F43"/>
    <w:rsid w:val="00A27714"/>
    <w:rsid w:val="00A31A60"/>
    <w:rsid w:val="00A32404"/>
    <w:rsid w:val="00A3459F"/>
    <w:rsid w:val="00A4231E"/>
    <w:rsid w:val="00A462CA"/>
    <w:rsid w:val="00A50B06"/>
    <w:rsid w:val="00A512BF"/>
    <w:rsid w:val="00A51704"/>
    <w:rsid w:val="00A54776"/>
    <w:rsid w:val="00A56915"/>
    <w:rsid w:val="00A5799C"/>
    <w:rsid w:val="00A60F18"/>
    <w:rsid w:val="00A64889"/>
    <w:rsid w:val="00A70D91"/>
    <w:rsid w:val="00A72FC0"/>
    <w:rsid w:val="00A74DFC"/>
    <w:rsid w:val="00A815E8"/>
    <w:rsid w:val="00A84F2F"/>
    <w:rsid w:val="00A85CB6"/>
    <w:rsid w:val="00A90999"/>
    <w:rsid w:val="00AA1809"/>
    <w:rsid w:val="00AA1E20"/>
    <w:rsid w:val="00AA1F00"/>
    <w:rsid w:val="00AA3F56"/>
    <w:rsid w:val="00AA4384"/>
    <w:rsid w:val="00AB5E53"/>
    <w:rsid w:val="00AB76C9"/>
    <w:rsid w:val="00AB7E36"/>
    <w:rsid w:val="00AD197C"/>
    <w:rsid w:val="00AD697F"/>
    <w:rsid w:val="00AE6A2A"/>
    <w:rsid w:val="00AF33BB"/>
    <w:rsid w:val="00B005FB"/>
    <w:rsid w:val="00B00DEA"/>
    <w:rsid w:val="00B015BA"/>
    <w:rsid w:val="00B04D0F"/>
    <w:rsid w:val="00B077C4"/>
    <w:rsid w:val="00B10B6A"/>
    <w:rsid w:val="00B1222C"/>
    <w:rsid w:val="00B16EB5"/>
    <w:rsid w:val="00B22B41"/>
    <w:rsid w:val="00B2369E"/>
    <w:rsid w:val="00B244D8"/>
    <w:rsid w:val="00B34FF5"/>
    <w:rsid w:val="00B4266B"/>
    <w:rsid w:val="00B4326A"/>
    <w:rsid w:val="00B45724"/>
    <w:rsid w:val="00B467A7"/>
    <w:rsid w:val="00B46F7E"/>
    <w:rsid w:val="00B513AB"/>
    <w:rsid w:val="00B519F4"/>
    <w:rsid w:val="00B55C07"/>
    <w:rsid w:val="00B64548"/>
    <w:rsid w:val="00B6574C"/>
    <w:rsid w:val="00B72171"/>
    <w:rsid w:val="00B750D9"/>
    <w:rsid w:val="00B77166"/>
    <w:rsid w:val="00B779FB"/>
    <w:rsid w:val="00B83389"/>
    <w:rsid w:val="00B97257"/>
    <w:rsid w:val="00BA0044"/>
    <w:rsid w:val="00BA10B6"/>
    <w:rsid w:val="00BA5995"/>
    <w:rsid w:val="00BA60D6"/>
    <w:rsid w:val="00BB038D"/>
    <w:rsid w:val="00BB1B3B"/>
    <w:rsid w:val="00BB1DCB"/>
    <w:rsid w:val="00BB675C"/>
    <w:rsid w:val="00BB6BFD"/>
    <w:rsid w:val="00BB7D34"/>
    <w:rsid w:val="00BC31EE"/>
    <w:rsid w:val="00BC3D91"/>
    <w:rsid w:val="00BD280E"/>
    <w:rsid w:val="00BE21A6"/>
    <w:rsid w:val="00BE4B6F"/>
    <w:rsid w:val="00BE7632"/>
    <w:rsid w:val="00BF045A"/>
    <w:rsid w:val="00BF2868"/>
    <w:rsid w:val="00C00819"/>
    <w:rsid w:val="00C02E8C"/>
    <w:rsid w:val="00C045A9"/>
    <w:rsid w:val="00C12127"/>
    <w:rsid w:val="00C20571"/>
    <w:rsid w:val="00C20EE7"/>
    <w:rsid w:val="00C24247"/>
    <w:rsid w:val="00C25006"/>
    <w:rsid w:val="00C4031A"/>
    <w:rsid w:val="00C4351D"/>
    <w:rsid w:val="00C46440"/>
    <w:rsid w:val="00C5144B"/>
    <w:rsid w:val="00C52AAC"/>
    <w:rsid w:val="00C56F25"/>
    <w:rsid w:val="00C7425A"/>
    <w:rsid w:val="00C76659"/>
    <w:rsid w:val="00C778A7"/>
    <w:rsid w:val="00C82F80"/>
    <w:rsid w:val="00C866BF"/>
    <w:rsid w:val="00C86936"/>
    <w:rsid w:val="00C96CE6"/>
    <w:rsid w:val="00CA2318"/>
    <w:rsid w:val="00CA6363"/>
    <w:rsid w:val="00CA65D8"/>
    <w:rsid w:val="00CB13E5"/>
    <w:rsid w:val="00CB47A9"/>
    <w:rsid w:val="00CC0642"/>
    <w:rsid w:val="00CD4BE8"/>
    <w:rsid w:val="00CE098A"/>
    <w:rsid w:val="00CE4B67"/>
    <w:rsid w:val="00CF1503"/>
    <w:rsid w:val="00CF66A0"/>
    <w:rsid w:val="00D01851"/>
    <w:rsid w:val="00D01C8A"/>
    <w:rsid w:val="00D0516C"/>
    <w:rsid w:val="00D06F57"/>
    <w:rsid w:val="00D06F7B"/>
    <w:rsid w:val="00D13EFA"/>
    <w:rsid w:val="00D162B6"/>
    <w:rsid w:val="00D261FC"/>
    <w:rsid w:val="00D31DE6"/>
    <w:rsid w:val="00D333C4"/>
    <w:rsid w:val="00D34988"/>
    <w:rsid w:val="00D35E99"/>
    <w:rsid w:val="00D36C0E"/>
    <w:rsid w:val="00D37820"/>
    <w:rsid w:val="00D40FA9"/>
    <w:rsid w:val="00D42167"/>
    <w:rsid w:val="00D424A6"/>
    <w:rsid w:val="00D44256"/>
    <w:rsid w:val="00D468EC"/>
    <w:rsid w:val="00D46D16"/>
    <w:rsid w:val="00D47C42"/>
    <w:rsid w:val="00D506A9"/>
    <w:rsid w:val="00D530F2"/>
    <w:rsid w:val="00D56D9D"/>
    <w:rsid w:val="00D56F92"/>
    <w:rsid w:val="00D57950"/>
    <w:rsid w:val="00D6555E"/>
    <w:rsid w:val="00D670C5"/>
    <w:rsid w:val="00D729AC"/>
    <w:rsid w:val="00D75349"/>
    <w:rsid w:val="00D75DC7"/>
    <w:rsid w:val="00D8184B"/>
    <w:rsid w:val="00D83DBF"/>
    <w:rsid w:val="00D90AAD"/>
    <w:rsid w:val="00D91455"/>
    <w:rsid w:val="00D93EB7"/>
    <w:rsid w:val="00D941FE"/>
    <w:rsid w:val="00D96459"/>
    <w:rsid w:val="00D967BE"/>
    <w:rsid w:val="00D9721B"/>
    <w:rsid w:val="00DA00A0"/>
    <w:rsid w:val="00DA09B1"/>
    <w:rsid w:val="00DA3A35"/>
    <w:rsid w:val="00DA493A"/>
    <w:rsid w:val="00DA4BDE"/>
    <w:rsid w:val="00DA550F"/>
    <w:rsid w:val="00DA70B4"/>
    <w:rsid w:val="00DA7CE8"/>
    <w:rsid w:val="00DB1216"/>
    <w:rsid w:val="00DB266C"/>
    <w:rsid w:val="00DB2C1F"/>
    <w:rsid w:val="00DB5EE6"/>
    <w:rsid w:val="00DC3225"/>
    <w:rsid w:val="00DD1F97"/>
    <w:rsid w:val="00DD6C04"/>
    <w:rsid w:val="00DE1C77"/>
    <w:rsid w:val="00DE4B5C"/>
    <w:rsid w:val="00DE5A4F"/>
    <w:rsid w:val="00DE680C"/>
    <w:rsid w:val="00DF026D"/>
    <w:rsid w:val="00DF53D6"/>
    <w:rsid w:val="00E04CA4"/>
    <w:rsid w:val="00E13A9E"/>
    <w:rsid w:val="00E16053"/>
    <w:rsid w:val="00E20DEF"/>
    <w:rsid w:val="00E21E01"/>
    <w:rsid w:val="00E22449"/>
    <w:rsid w:val="00E24ADF"/>
    <w:rsid w:val="00E24B70"/>
    <w:rsid w:val="00E25EFD"/>
    <w:rsid w:val="00E26037"/>
    <w:rsid w:val="00E40653"/>
    <w:rsid w:val="00E50382"/>
    <w:rsid w:val="00E53D11"/>
    <w:rsid w:val="00E55269"/>
    <w:rsid w:val="00E56516"/>
    <w:rsid w:val="00E61547"/>
    <w:rsid w:val="00E64D15"/>
    <w:rsid w:val="00E75C12"/>
    <w:rsid w:val="00E762EC"/>
    <w:rsid w:val="00E807B4"/>
    <w:rsid w:val="00EB0C06"/>
    <w:rsid w:val="00EB2920"/>
    <w:rsid w:val="00EB3674"/>
    <w:rsid w:val="00EB6579"/>
    <w:rsid w:val="00EB6EAF"/>
    <w:rsid w:val="00EC02A0"/>
    <w:rsid w:val="00EC12D0"/>
    <w:rsid w:val="00EC2F35"/>
    <w:rsid w:val="00EC4C8F"/>
    <w:rsid w:val="00ED3F5C"/>
    <w:rsid w:val="00ED6557"/>
    <w:rsid w:val="00EE1BBA"/>
    <w:rsid w:val="00EE4CC7"/>
    <w:rsid w:val="00EE7222"/>
    <w:rsid w:val="00EF159D"/>
    <w:rsid w:val="00EF18FC"/>
    <w:rsid w:val="00EF341B"/>
    <w:rsid w:val="00EF7A38"/>
    <w:rsid w:val="00F0257C"/>
    <w:rsid w:val="00F04680"/>
    <w:rsid w:val="00F06198"/>
    <w:rsid w:val="00F07EEB"/>
    <w:rsid w:val="00F1193C"/>
    <w:rsid w:val="00F154F8"/>
    <w:rsid w:val="00F15863"/>
    <w:rsid w:val="00F20779"/>
    <w:rsid w:val="00F22798"/>
    <w:rsid w:val="00F22B05"/>
    <w:rsid w:val="00F26BCA"/>
    <w:rsid w:val="00F30844"/>
    <w:rsid w:val="00F30E3C"/>
    <w:rsid w:val="00F427B4"/>
    <w:rsid w:val="00F618E1"/>
    <w:rsid w:val="00F64EC3"/>
    <w:rsid w:val="00F704C7"/>
    <w:rsid w:val="00F70A67"/>
    <w:rsid w:val="00F72571"/>
    <w:rsid w:val="00F734D3"/>
    <w:rsid w:val="00F73AF1"/>
    <w:rsid w:val="00F82C4E"/>
    <w:rsid w:val="00F86614"/>
    <w:rsid w:val="00FA1E90"/>
    <w:rsid w:val="00FA4107"/>
    <w:rsid w:val="00FA4F15"/>
    <w:rsid w:val="00FA6A6C"/>
    <w:rsid w:val="00FB31C5"/>
    <w:rsid w:val="00FC31CA"/>
    <w:rsid w:val="00FC587B"/>
    <w:rsid w:val="00FC6221"/>
    <w:rsid w:val="00FD4139"/>
    <w:rsid w:val="00FD741B"/>
    <w:rsid w:val="00FE1218"/>
    <w:rsid w:val="00FE3FFD"/>
    <w:rsid w:val="00FE62B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3694B"/>
  <w15:chartTrackingRefBased/>
  <w15:docId w15:val="{46C36919-1543-41FB-98AF-F613DA5F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2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2FA"/>
  </w:style>
  <w:style w:type="paragraph" w:styleId="Piedepgina">
    <w:name w:val="footer"/>
    <w:basedOn w:val="Normal"/>
    <w:link w:val="PiedepginaCar"/>
    <w:uiPriority w:val="99"/>
    <w:unhideWhenUsed/>
    <w:rsid w:val="003522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2FA"/>
  </w:style>
  <w:style w:type="table" w:styleId="Tablaconcuadrcula">
    <w:name w:val="Table Grid"/>
    <w:basedOn w:val="Tablanormal"/>
    <w:uiPriority w:val="59"/>
    <w:rsid w:val="003522FA"/>
    <w:pPr>
      <w:spacing w:after="0" w:line="240" w:lineRule="auto"/>
    </w:pPr>
    <w:rPr>
      <w:rFonts w:ascii="Times New Roman" w:hAnsi="Times New Roman"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4D30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6541C1"/>
    <w:pPr>
      <w:spacing w:after="0" w:line="240" w:lineRule="auto"/>
      <w:ind w:right="964"/>
    </w:pPr>
    <w:rPr>
      <w:rFonts w:eastAsiaTheme="minorHAnsi"/>
      <w:sz w:val="16"/>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C20571"/>
    <w:rPr>
      <w:color w:val="0563C1" w:themeColor="hyperlink"/>
      <w:u w:val="single"/>
    </w:rPr>
  </w:style>
  <w:style w:type="character" w:styleId="Mencinsinresolver">
    <w:name w:val="Unresolved Mention"/>
    <w:basedOn w:val="Fuentedeprrafopredeter"/>
    <w:uiPriority w:val="99"/>
    <w:semiHidden/>
    <w:unhideWhenUsed/>
    <w:rsid w:val="00C2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4424">
      <w:bodyDiv w:val="1"/>
      <w:marLeft w:val="0"/>
      <w:marRight w:val="0"/>
      <w:marTop w:val="0"/>
      <w:marBottom w:val="0"/>
      <w:divBdr>
        <w:top w:val="none" w:sz="0" w:space="0" w:color="auto"/>
        <w:left w:val="none" w:sz="0" w:space="0" w:color="auto"/>
        <w:bottom w:val="none" w:sz="0" w:space="0" w:color="auto"/>
        <w:right w:val="none" w:sz="0" w:space="0" w:color="auto"/>
      </w:divBdr>
    </w:div>
    <w:div w:id="12852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00369a@umich.mx" TargetMode="External"/><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hyperlink" Target="mailto:rafael.ortiz@umich.mx"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64F5C-21EE-4F99-B550-394C4F51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2499</Words>
  <Characters>13748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Cesar Rogelio Solorio Alvarado</cp:lastModifiedBy>
  <cp:revision>4</cp:revision>
  <dcterms:created xsi:type="dcterms:W3CDTF">2022-11-08T02:29:00Z</dcterms:created>
  <dcterms:modified xsi:type="dcterms:W3CDTF">2022-11-09T18:37:00Z</dcterms:modified>
</cp:coreProperties>
</file>