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AA98" w14:textId="77777777" w:rsidR="006541C1" w:rsidRDefault="006541C1" w:rsidP="006541C1"/>
    <w:p w14:paraId="3543841A" w14:textId="2F9328EC" w:rsidR="006541C1" w:rsidRDefault="006541C1" w:rsidP="00FD1C77">
      <w:pPr>
        <w:adjustRightInd w:val="0"/>
        <w:snapToGrid w:val="0"/>
        <w:spacing w:after="0" w:line="240" w:lineRule="exact"/>
        <w:ind w:right="51"/>
        <w:jc w:val="center"/>
        <w:rPr>
          <w:rFonts w:ascii="Times New Roman" w:hAnsi="Times New Roman" w:cs="Times New Roman"/>
          <w:b/>
          <w:bCs/>
          <w:sz w:val="24"/>
          <w:szCs w:val="24"/>
        </w:rPr>
      </w:pPr>
      <w:r w:rsidRPr="00AB32A2">
        <w:rPr>
          <w:rFonts w:ascii="Times New Roman" w:hAnsi="Times New Roman" w:cs="Times New Roman"/>
          <w:b/>
          <w:bCs/>
          <w:sz w:val="24"/>
          <w:szCs w:val="24"/>
        </w:rPr>
        <w:t>“</w:t>
      </w:r>
      <w:r w:rsidR="008F5911">
        <w:rPr>
          <w:rFonts w:ascii="Times New Roman" w:hAnsi="Times New Roman" w:cs="Times New Roman"/>
          <w:b/>
          <w:bCs/>
          <w:sz w:val="24"/>
          <w:szCs w:val="24"/>
        </w:rPr>
        <w:t>A</w:t>
      </w:r>
      <w:r w:rsidR="008F5911" w:rsidRPr="00B528C1">
        <w:rPr>
          <w:rFonts w:ascii="Times New Roman" w:hAnsi="Times New Roman" w:cs="Times New Roman"/>
          <w:b/>
          <w:bCs/>
          <w:sz w:val="24"/>
          <w:szCs w:val="24"/>
        </w:rPr>
        <w:t xml:space="preserve">nálisis de la resistencia múltiple a drogas en aislados clínicos de </w:t>
      </w:r>
      <w:r w:rsidR="008F5911" w:rsidRPr="008F5911">
        <w:rPr>
          <w:rFonts w:ascii="Times New Roman" w:hAnsi="Times New Roman" w:cs="Times New Roman"/>
          <w:b/>
          <w:bCs/>
          <w:i/>
          <w:iCs/>
          <w:sz w:val="24"/>
          <w:szCs w:val="24"/>
        </w:rPr>
        <w:t>Pseudomona aeruginosa</w:t>
      </w:r>
      <w:r w:rsidR="008F5911" w:rsidRPr="00B528C1">
        <w:rPr>
          <w:rFonts w:ascii="Times New Roman" w:hAnsi="Times New Roman" w:cs="Times New Roman"/>
          <w:b/>
          <w:bCs/>
          <w:sz w:val="24"/>
          <w:szCs w:val="24"/>
        </w:rPr>
        <w:t xml:space="preserve"> provenientes de ambientes hospitalarios</w:t>
      </w:r>
      <w:r w:rsidRPr="00AB32A2">
        <w:rPr>
          <w:rFonts w:ascii="Times New Roman" w:hAnsi="Times New Roman" w:cs="Times New Roman"/>
          <w:b/>
          <w:bCs/>
          <w:sz w:val="24"/>
          <w:szCs w:val="24"/>
        </w:rPr>
        <w:t>”</w:t>
      </w:r>
    </w:p>
    <w:p w14:paraId="3B95AF64" w14:textId="77777777" w:rsidR="00FD1C77" w:rsidRPr="00AB32A2" w:rsidRDefault="00FD1C77" w:rsidP="00FD1C77">
      <w:pPr>
        <w:adjustRightInd w:val="0"/>
        <w:snapToGrid w:val="0"/>
        <w:spacing w:after="0" w:line="240" w:lineRule="exact"/>
        <w:ind w:right="51"/>
        <w:jc w:val="center"/>
        <w:rPr>
          <w:rFonts w:ascii="Times New Roman" w:hAnsi="Times New Roman" w:cs="Times New Roman"/>
          <w:b/>
          <w:bCs/>
          <w:sz w:val="24"/>
          <w:szCs w:val="24"/>
        </w:rPr>
      </w:pPr>
    </w:p>
    <w:p w14:paraId="125CD070" w14:textId="43C43076" w:rsidR="006541C1" w:rsidRPr="006A2C46" w:rsidRDefault="008F5911" w:rsidP="006541C1">
      <w:pPr>
        <w:spacing w:line="360" w:lineRule="auto"/>
        <w:ind w:right="49"/>
        <w:jc w:val="center"/>
        <w:rPr>
          <w:rFonts w:ascii="Times New Roman" w:hAnsi="Times New Roman" w:cs="Times New Roman"/>
        </w:rPr>
      </w:pPr>
      <w:r w:rsidRPr="008F5911">
        <w:rPr>
          <w:rFonts w:ascii="Times New Roman" w:hAnsi="Times New Roman" w:cs="Times New Roman"/>
        </w:rPr>
        <w:t>Crespo Crespo Isaac</w:t>
      </w:r>
      <w:r>
        <w:rPr>
          <w:rFonts w:ascii="Times New Roman" w:hAnsi="Times New Roman" w:cs="Times New Roman"/>
          <w:vertAlign w:val="superscript"/>
        </w:rPr>
        <w:t>a</w:t>
      </w:r>
      <w:r w:rsidRPr="008F5911">
        <w:rPr>
          <w:rFonts w:ascii="Times New Roman" w:hAnsi="Times New Roman" w:cs="Times New Roman"/>
        </w:rPr>
        <w:t>, Carranza López Claudia Teresa</w:t>
      </w:r>
      <w:r w:rsidRPr="008F5911">
        <w:rPr>
          <w:rFonts w:ascii="Times New Roman" w:hAnsi="Times New Roman" w:cs="Times New Roman"/>
          <w:vertAlign w:val="superscript"/>
        </w:rPr>
        <w:t>a</w:t>
      </w:r>
      <w:r w:rsidRPr="008F5911">
        <w:rPr>
          <w:rFonts w:ascii="Times New Roman" w:hAnsi="Times New Roman" w:cs="Times New Roman"/>
        </w:rPr>
        <w:t>, Solorio Alvarado César Rogelio</w:t>
      </w:r>
      <w:r w:rsidRPr="008F5911">
        <w:rPr>
          <w:rFonts w:ascii="Times New Roman" w:hAnsi="Times New Roman" w:cs="Times New Roman"/>
          <w:vertAlign w:val="superscript"/>
        </w:rPr>
        <w:t>b</w:t>
      </w:r>
      <w:r w:rsidRPr="008F5911">
        <w:rPr>
          <w:rFonts w:ascii="Times New Roman" w:hAnsi="Times New Roman" w:cs="Times New Roman"/>
        </w:rPr>
        <w:t>, Deveze Álvarez Martha Alicia</w:t>
      </w:r>
      <w:r w:rsidRPr="008F5911">
        <w:rPr>
          <w:rFonts w:ascii="Times New Roman" w:hAnsi="Times New Roman" w:cs="Times New Roman"/>
          <w:vertAlign w:val="superscript"/>
        </w:rPr>
        <w:t>c</w:t>
      </w:r>
      <w:r w:rsidRPr="008F5911">
        <w:rPr>
          <w:rFonts w:ascii="Times New Roman" w:hAnsi="Times New Roman" w:cs="Times New Roman"/>
        </w:rPr>
        <w:t xml:space="preserve">, Alba Betancourt Clara </w:t>
      </w:r>
      <w:r w:rsidRPr="008F5911">
        <w:rPr>
          <w:rFonts w:ascii="Times New Roman" w:hAnsi="Times New Roman" w:cs="Times New Roman"/>
          <w:vertAlign w:val="superscript"/>
        </w:rPr>
        <w:t>c</w:t>
      </w:r>
      <w:r w:rsidRPr="008F5911">
        <w:rPr>
          <w:rFonts w:ascii="Times New Roman" w:hAnsi="Times New Roman" w:cs="Times New Roman"/>
        </w:rPr>
        <w:t>, Mendoza Macías Claudia Leticia **</w:t>
      </w:r>
      <w:r>
        <w:rPr>
          <w:rFonts w:ascii="Times New Roman" w:hAnsi="Times New Roman" w:cs="Times New Roman"/>
          <w:vertAlign w:val="superscript"/>
        </w:rPr>
        <w:t>c</w:t>
      </w:r>
      <w:r w:rsidR="006541C1" w:rsidRPr="006A2C46">
        <w:rPr>
          <w:rFonts w:ascii="Times New Roman" w:hAnsi="Times New Roman" w:cs="Times New Roman"/>
        </w:rPr>
        <w:t xml:space="preserve"> </w:t>
      </w:r>
    </w:p>
    <w:p w14:paraId="0DB50C77" w14:textId="69E03EF4" w:rsidR="006541C1" w:rsidRPr="006A2C46" w:rsidRDefault="008F5911" w:rsidP="008F5911">
      <w:pPr>
        <w:spacing w:line="360" w:lineRule="auto"/>
        <w:ind w:right="49"/>
        <w:jc w:val="both"/>
        <w:rPr>
          <w:rFonts w:ascii="Times New Roman" w:hAnsi="Times New Roman" w:cs="Times New Roman"/>
        </w:rPr>
      </w:pPr>
      <w:r>
        <w:rPr>
          <w:rFonts w:ascii="Times New Roman" w:hAnsi="Times New Roman" w:cs="Times New Roman"/>
          <w:vertAlign w:val="superscript"/>
        </w:rPr>
        <w:t xml:space="preserve">a </w:t>
      </w:r>
      <w:r w:rsidRPr="008F5911">
        <w:rPr>
          <w:rFonts w:ascii="Times New Roman" w:hAnsi="Times New Roman" w:cs="Times New Roman"/>
        </w:rPr>
        <w:t>Licenciatura en Químico Farmacéutico Biólogo, Universidad de Guanajuato</w:t>
      </w:r>
      <w:r>
        <w:rPr>
          <w:rFonts w:ascii="Times New Roman" w:hAnsi="Times New Roman" w:cs="Times New Roman"/>
        </w:rPr>
        <w:t xml:space="preserve">; </w:t>
      </w:r>
      <w:r w:rsidRPr="008F5911">
        <w:rPr>
          <w:rFonts w:ascii="Times New Roman" w:hAnsi="Times New Roman" w:cs="Times New Roman"/>
          <w:vertAlign w:val="superscript"/>
        </w:rPr>
        <w:t>b</w:t>
      </w:r>
      <w:r>
        <w:rPr>
          <w:rFonts w:ascii="Times New Roman" w:hAnsi="Times New Roman" w:cs="Times New Roman"/>
          <w:vertAlign w:val="superscript"/>
        </w:rPr>
        <w:t xml:space="preserve"> </w:t>
      </w:r>
      <w:r w:rsidRPr="008F5911">
        <w:rPr>
          <w:rFonts w:ascii="Times New Roman" w:hAnsi="Times New Roman" w:cs="Times New Roman"/>
        </w:rPr>
        <w:t>Departamento de Química, División de Ciencias Naturales y Exactas, Campus Guanajuato, Universidad de Guanajuato</w:t>
      </w:r>
      <w:r>
        <w:rPr>
          <w:rFonts w:ascii="Times New Roman" w:hAnsi="Times New Roman" w:cs="Times New Roman"/>
        </w:rPr>
        <w:t xml:space="preserve">; </w:t>
      </w:r>
      <w:r w:rsidRPr="008F5911">
        <w:rPr>
          <w:rFonts w:ascii="Times New Roman" w:hAnsi="Times New Roman" w:cs="Times New Roman"/>
          <w:vertAlign w:val="superscript"/>
        </w:rPr>
        <w:t>c</w:t>
      </w:r>
      <w:r>
        <w:rPr>
          <w:rFonts w:ascii="Times New Roman" w:hAnsi="Times New Roman" w:cs="Times New Roman"/>
          <w:vertAlign w:val="superscript"/>
        </w:rPr>
        <w:t xml:space="preserve"> </w:t>
      </w:r>
      <w:r w:rsidRPr="008F5911">
        <w:rPr>
          <w:rFonts w:ascii="Times New Roman" w:hAnsi="Times New Roman" w:cs="Times New Roman"/>
        </w:rPr>
        <w:t>Departamento de Farmacia, División de Ciencias Naturales y Exactas, Campus Guanajuato, Universidad de Guanajuato</w:t>
      </w:r>
      <w:r>
        <w:rPr>
          <w:rFonts w:ascii="Times New Roman" w:hAnsi="Times New Roman" w:cs="Times New Roman"/>
        </w:rPr>
        <w:t>.</w:t>
      </w:r>
      <w:r w:rsidRPr="008F5911">
        <w:rPr>
          <w:rFonts w:ascii="Times New Roman" w:hAnsi="Times New Roman" w:cs="Times New Roman"/>
        </w:rPr>
        <w:t>**Dirección de correo electrónico: cl.mendoza@ugto.mx</w:t>
      </w:r>
      <w:r w:rsidR="006541C1" w:rsidRPr="006A2C46">
        <w:rPr>
          <w:rFonts w:ascii="Times New Roman" w:hAnsi="Times New Roman" w:cs="Times New Roman"/>
        </w:rPr>
        <w:t xml:space="preserve"> </w:t>
      </w:r>
    </w:p>
    <w:p w14:paraId="75ABF869" w14:textId="77777777" w:rsidR="006541C1" w:rsidRDefault="006541C1" w:rsidP="006541C1">
      <w:pPr>
        <w:spacing w:line="360" w:lineRule="auto"/>
        <w:ind w:right="49"/>
        <w:jc w:val="center"/>
        <w:rPr>
          <w:rFonts w:ascii="Times New Roman" w:hAnsi="Times New Roman" w:cs="Times New Roman"/>
          <w:sz w:val="24"/>
          <w:szCs w:val="24"/>
        </w:rPr>
      </w:pPr>
    </w:p>
    <w:p w14:paraId="6165C369" w14:textId="77777777" w:rsidR="006541C1" w:rsidRPr="006A2C46" w:rsidRDefault="006541C1" w:rsidP="006541C1">
      <w:pPr>
        <w:spacing w:line="360" w:lineRule="auto"/>
        <w:ind w:right="49"/>
        <w:jc w:val="both"/>
        <w:rPr>
          <w:rFonts w:ascii="Times New Roman" w:hAnsi="Times New Roman" w:cs="Times New Roman"/>
          <w:b/>
          <w:bCs/>
        </w:rPr>
      </w:pPr>
      <w:r w:rsidRPr="006A2C46">
        <w:rPr>
          <w:rFonts w:ascii="Times New Roman" w:hAnsi="Times New Roman" w:cs="Times New Roman"/>
          <w:b/>
          <w:bCs/>
        </w:rPr>
        <w:t xml:space="preserve">Resumen </w:t>
      </w:r>
    </w:p>
    <w:p w14:paraId="4841A1F0" w14:textId="77777777" w:rsidR="008F5911" w:rsidRDefault="008F5911" w:rsidP="006541C1">
      <w:pPr>
        <w:spacing w:line="360" w:lineRule="auto"/>
        <w:jc w:val="both"/>
        <w:rPr>
          <w:rFonts w:ascii="Times New Roman" w:hAnsi="Times New Roman" w:cs="Times New Roman"/>
        </w:rPr>
      </w:pPr>
      <w:r w:rsidRPr="008F5911">
        <w:rPr>
          <w:rFonts w:ascii="Times New Roman" w:hAnsi="Times New Roman" w:cs="Times New Roman"/>
        </w:rPr>
        <w:t>Introducción: Pseudomona aeruginosa es un agente etiológico de las infecciones nosocomiales y que presenta multiresistencia a antibióticos. Una estrategia para combatirla, es emplear inhibidores de bombas de eflujo para revertir su resistencia. Materiales y Métodos: Se clasificaron aislados clínicos de P. aeruginosa según su grado de resistencia, se determinaron las CMI para cuatro antibióticos y se evaluó el efecto de dos inhibidores de bombas de eflujo. Resultados: Los fenotipos de resistencia de las cepas de P. aeruginosa fueron MDR, XDR y No Multiresistente. Se determinó la CMI para ciprofloxacino, cloranfenicol, gentamicina y tetraciclina. Los dos derivados de maleimidas no tuvieron efecto en la reversión de resistencia. Discusión y Conclusiones: La resistencia a antibióticos de P. aeruginosa deriva de diversos mecanismos, lo cual permite considerarla como una bacteria multiresistente, tener CMI relativamente altas y no presentar reversión de resistencia con el uso de los inhibidores de bombas de eflujo como los derivados de maleimidas evaluados en el presente trabajo.</w:t>
      </w:r>
    </w:p>
    <w:p w14:paraId="4DCE6055" w14:textId="41932793" w:rsidR="006541C1" w:rsidRPr="00E74A0B" w:rsidRDefault="006541C1" w:rsidP="006541C1">
      <w:pPr>
        <w:spacing w:line="360" w:lineRule="auto"/>
        <w:jc w:val="both"/>
        <w:rPr>
          <w:rFonts w:ascii="Times New Roman" w:hAnsi="Times New Roman" w:cs="Times New Roman"/>
          <w:sz w:val="24"/>
          <w:szCs w:val="24"/>
        </w:rPr>
      </w:pPr>
      <w:r w:rsidRPr="00A32432">
        <w:rPr>
          <w:rFonts w:ascii="Times New Roman" w:hAnsi="Times New Roman" w:cs="Times New Roman"/>
          <w:i/>
          <w:iCs/>
        </w:rPr>
        <w:t>Palabras clave:</w:t>
      </w:r>
      <w:r w:rsidRPr="00A32432">
        <w:rPr>
          <w:rFonts w:ascii="Times New Roman" w:hAnsi="Times New Roman" w:cs="Times New Roman"/>
        </w:rPr>
        <w:t xml:space="preserve"> </w:t>
      </w:r>
      <w:r w:rsidR="008F5911" w:rsidRPr="008F5911">
        <w:rPr>
          <w:rFonts w:ascii="Times New Roman" w:hAnsi="Times New Roman" w:cs="Times New Roman"/>
          <w:i/>
          <w:iCs/>
        </w:rPr>
        <w:t>Pseudomona aeruginosa</w:t>
      </w:r>
      <w:r w:rsidR="008F5911" w:rsidRPr="008F5911">
        <w:rPr>
          <w:rFonts w:ascii="Times New Roman" w:hAnsi="Times New Roman" w:cs="Times New Roman"/>
        </w:rPr>
        <w:t>; Multiresistencia; Antibióticos; Inhibidores de Bombas de Eflujo; Reversión de Resistencia.</w:t>
      </w:r>
    </w:p>
    <w:p w14:paraId="6F1B25E8" w14:textId="77777777" w:rsidR="00FD1C77" w:rsidRDefault="00FD1C77" w:rsidP="006541C1">
      <w:pPr>
        <w:spacing w:line="360" w:lineRule="auto"/>
        <w:jc w:val="both"/>
        <w:rPr>
          <w:rFonts w:ascii="Times New Roman" w:hAnsi="Times New Roman" w:cs="Times New Roman"/>
          <w:b/>
          <w:bCs/>
          <w:sz w:val="24"/>
          <w:szCs w:val="24"/>
          <w:lang w:val="en-US"/>
        </w:rPr>
      </w:pPr>
    </w:p>
    <w:p w14:paraId="71D702F3" w14:textId="77777777" w:rsidR="00FD1C77" w:rsidRDefault="00FD1C77" w:rsidP="006541C1">
      <w:pPr>
        <w:spacing w:line="360" w:lineRule="auto"/>
        <w:jc w:val="both"/>
        <w:rPr>
          <w:rFonts w:ascii="Times New Roman" w:hAnsi="Times New Roman" w:cs="Times New Roman"/>
          <w:b/>
          <w:bCs/>
          <w:sz w:val="24"/>
          <w:szCs w:val="24"/>
          <w:lang w:val="en-US"/>
        </w:rPr>
      </w:pPr>
    </w:p>
    <w:p w14:paraId="6C8CA646" w14:textId="77777777" w:rsidR="00FD1C77" w:rsidRDefault="00FD1C77" w:rsidP="006541C1">
      <w:pPr>
        <w:spacing w:line="360" w:lineRule="auto"/>
        <w:jc w:val="both"/>
        <w:rPr>
          <w:rFonts w:ascii="Times New Roman" w:hAnsi="Times New Roman" w:cs="Times New Roman"/>
          <w:b/>
          <w:bCs/>
          <w:sz w:val="24"/>
          <w:szCs w:val="24"/>
          <w:lang w:val="en-US"/>
        </w:rPr>
      </w:pPr>
    </w:p>
    <w:p w14:paraId="5A6AADEA" w14:textId="60991A23" w:rsidR="006541C1" w:rsidRPr="00FD1C77" w:rsidRDefault="006541C1" w:rsidP="006541C1">
      <w:pPr>
        <w:spacing w:line="360" w:lineRule="auto"/>
        <w:jc w:val="both"/>
        <w:rPr>
          <w:rFonts w:ascii="Times New Roman" w:hAnsi="Times New Roman" w:cs="Times New Roman"/>
          <w:sz w:val="24"/>
          <w:szCs w:val="24"/>
          <w:lang w:val="en-US"/>
        </w:rPr>
      </w:pPr>
      <w:r w:rsidRPr="00FD1C77">
        <w:rPr>
          <w:rFonts w:ascii="Times New Roman" w:hAnsi="Times New Roman" w:cs="Times New Roman"/>
          <w:b/>
          <w:bCs/>
          <w:lang w:val="en-US"/>
        </w:rPr>
        <w:lastRenderedPageBreak/>
        <w:t>Abstract</w:t>
      </w:r>
      <w:r w:rsidRPr="00FD1C77">
        <w:rPr>
          <w:rFonts w:ascii="Times New Roman" w:hAnsi="Times New Roman" w:cs="Times New Roman"/>
          <w:sz w:val="24"/>
          <w:szCs w:val="24"/>
          <w:lang w:val="en-US"/>
        </w:rPr>
        <w:t xml:space="preserve"> </w:t>
      </w:r>
    </w:p>
    <w:p w14:paraId="26B68998" w14:textId="77777777" w:rsidR="008F5911" w:rsidRPr="00FD1C77" w:rsidRDefault="008F5911" w:rsidP="006541C1">
      <w:pPr>
        <w:spacing w:line="360" w:lineRule="auto"/>
        <w:jc w:val="both"/>
        <w:rPr>
          <w:rFonts w:ascii="Times New Roman" w:hAnsi="Times New Roman" w:cs="Times New Roman"/>
          <w:lang w:val="en-US"/>
        </w:rPr>
      </w:pPr>
      <w:r w:rsidRPr="00FD1C77">
        <w:rPr>
          <w:rFonts w:ascii="Times New Roman" w:hAnsi="Times New Roman" w:cs="Times New Roman"/>
          <w:lang w:val="en-US"/>
        </w:rPr>
        <w:t xml:space="preserve">resistance. One strategy to combat it, is to use efflux pump inhibitors to reverse it's resistance. Materials and Methods: The clinical isolates of P. aeruginosa were classified according to their degree of resistance, the MIC's were determined for four antibiotics and the effect of efflux pump inhibitors was evaluated. Results: The resistance phenotypes of P. aeruginosa strains were MDR, XDR and Non-Multiresistant. The MIC was determined for ciprofloxacin, chloramphenicol, gentamicin and tetracycline. The two maleimide derivatives had no effect on resistance reversal. Discussion and Conclusions: Antibiotic resistance of P. aeruginosa derives from various mechanisms, which allows it to be considered as a multi-resistant bacteria, have relatively high MIC's and not to show reversion of resistance with the use of efflux pump inhibitors as the two maleimide derivatives evaluated in this work. </w:t>
      </w:r>
    </w:p>
    <w:p w14:paraId="6A47F373" w14:textId="038A029D" w:rsidR="006541C1" w:rsidRPr="00A32432" w:rsidRDefault="006541C1" w:rsidP="006541C1">
      <w:pPr>
        <w:spacing w:line="360" w:lineRule="auto"/>
        <w:jc w:val="both"/>
        <w:rPr>
          <w:rFonts w:ascii="Times New Roman" w:hAnsi="Times New Roman" w:cs="Times New Roman"/>
        </w:rPr>
      </w:pPr>
      <w:r w:rsidRPr="00A32432">
        <w:rPr>
          <w:rFonts w:ascii="Times New Roman" w:hAnsi="Times New Roman" w:cs="Times New Roman"/>
          <w:i/>
          <w:iCs/>
        </w:rPr>
        <w:t>Keywords:</w:t>
      </w:r>
      <w:r w:rsidRPr="00A32432">
        <w:rPr>
          <w:rFonts w:ascii="Times New Roman" w:hAnsi="Times New Roman" w:cs="Times New Roman"/>
        </w:rPr>
        <w:t xml:space="preserve"> </w:t>
      </w:r>
      <w:r w:rsidR="008F5911" w:rsidRPr="008F5911">
        <w:rPr>
          <w:rFonts w:ascii="Times New Roman" w:hAnsi="Times New Roman" w:cs="Times New Roman"/>
        </w:rPr>
        <w:t>Pseudomonas aeruginosa; Multiresistance; antibiotics; Efflux Pump Inhibitors; Resistance Reversal</w:t>
      </w:r>
      <w:r w:rsidR="008F5911">
        <w:rPr>
          <w:rFonts w:ascii="Times New Roman" w:hAnsi="Times New Roman" w:cs="Times New Roman"/>
        </w:rPr>
        <w:t>.</w:t>
      </w:r>
    </w:p>
    <w:p w14:paraId="59B77F87" w14:textId="4DD39CB6" w:rsidR="00C5125D" w:rsidRDefault="00C5125D">
      <w:pPr>
        <w:rPr>
          <w:rFonts w:ascii="Times New Roman" w:eastAsia="Times New Roman" w:hAnsi="Times New Roman" w:cs="Times New Roman"/>
          <w:color w:val="000000"/>
          <w:sz w:val="24"/>
          <w:szCs w:val="24"/>
          <w:lang w:val="es-ES" w:eastAsia="es-ES"/>
        </w:rPr>
        <w:sectPr w:rsidR="00C5125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p>
    <w:p w14:paraId="4F6D2D83" w14:textId="77777777" w:rsidR="006541C1" w:rsidRPr="00A32432"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sidRPr="7CC131D3">
        <w:rPr>
          <w:rFonts w:ascii="Times New Roman" w:eastAsia="Times New Roman" w:hAnsi="Times New Roman" w:cs="Times New Roman"/>
          <w:b/>
          <w:bCs/>
          <w:color w:val="000000" w:themeColor="text1"/>
          <w:sz w:val="24"/>
          <w:szCs w:val="24"/>
          <w:lang w:val="es-ES" w:eastAsia="es-ES"/>
        </w:rPr>
        <w:t>1. Introducción</w:t>
      </w:r>
    </w:p>
    <w:p w14:paraId="4F65528E" w14:textId="5E06C9A4" w:rsidR="00C5125D" w:rsidRPr="00C5125D" w:rsidRDefault="00C5125D" w:rsidP="00C5125D">
      <w:pPr>
        <w:spacing w:line="360" w:lineRule="auto"/>
        <w:jc w:val="both"/>
        <w:rPr>
          <w:rFonts w:ascii="Times New Roman" w:hAnsi="Times New Roman"/>
          <w:i/>
          <w:iCs/>
          <w:sz w:val="24"/>
          <w:szCs w:val="24"/>
        </w:rPr>
      </w:pPr>
      <w:r>
        <w:rPr>
          <w:rFonts w:ascii="Times New Roman" w:hAnsi="Times New Roman"/>
          <w:i/>
          <w:iCs/>
          <w:sz w:val="24"/>
          <w:szCs w:val="24"/>
        </w:rPr>
        <w:t xml:space="preserve">1.1 </w:t>
      </w:r>
      <w:r w:rsidRPr="00C5125D">
        <w:rPr>
          <w:rFonts w:ascii="Times New Roman" w:hAnsi="Times New Roman"/>
          <w:i/>
          <w:iCs/>
          <w:sz w:val="24"/>
          <w:szCs w:val="24"/>
        </w:rPr>
        <w:t>Infecciones nosocomiales</w:t>
      </w:r>
    </w:p>
    <w:p w14:paraId="7D1CDFE2" w14:textId="638C6B2C"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Las infecciones nosocomiales son aquellas patologías adquiridas en una unidad de servicios de salud que aparecen por primera vez tras 48 horas (o más) después de la hospitalización o dentro de los 30 días posteriores al alta hospitalaria. Los agentes etiológicos pueden ser bacterias, virus, hongos o parásitos [</w:t>
      </w:r>
      <w:r>
        <w:rPr>
          <w:rFonts w:ascii="Times New Roman" w:hAnsi="Times New Roman"/>
          <w:sz w:val="24"/>
          <w:szCs w:val="24"/>
        </w:rPr>
        <w:t>Khan y col., 2017</w:t>
      </w:r>
      <w:r w:rsidRPr="00C5125D">
        <w:rPr>
          <w:rFonts w:ascii="Times New Roman" w:hAnsi="Times New Roman"/>
          <w:sz w:val="24"/>
          <w:szCs w:val="24"/>
        </w:rPr>
        <w:t>].</w:t>
      </w:r>
    </w:p>
    <w:p w14:paraId="57C5DA2F" w14:textId="2B7CCAE1" w:rsidR="00C5125D" w:rsidRPr="00C5125D" w:rsidRDefault="00C5125D" w:rsidP="00C5125D">
      <w:pPr>
        <w:spacing w:line="360" w:lineRule="auto"/>
        <w:jc w:val="both"/>
        <w:rPr>
          <w:rFonts w:ascii="Times New Roman" w:hAnsi="Times New Roman"/>
          <w:i/>
          <w:iCs/>
          <w:sz w:val="24"/>
          <w:szCs w:val="24"/>
        </w:rPr>
      </w:pPr>
      <w:r w:rsidRPr="00C5125D">
        <w:rPr>
          <w:rFonts w:ascii="Times New Roman" w:hAnsi="Times New Roman"/>
          <w:i/>
          <w:iCs/>
          <w:sz w:val="24"/>
          <w:szCs w:val="24"/>
        </w:rPr>
        <w:t>1.2 Resistencia bacteriana a antibióticos</w:t>
      </w:r>
    </w:p>
    <w:p w14:paraId="5C502B4B" w14:textId="1B2B2BF5"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 xml:space="preserve">Uno de los mayores problemas en el tratamiento de las infecciones nosocomiales es el aumento de la </w:t>
      </w:r>
      <w:r w:rsidRPr="00C5125D">
        <w:rPr>
          <w:rFonts w:ascii="Times New Roman" w:hAnsi="Times New Roman"/>
          <w:sz w:val="24"/>
          <w:szCs w:val="24"/>
        </w:rPr>
        <w:t xml:space="preserve">resistencia a antibióticos, la cual se produce cuando un fármaco pierde su capacidad para inhibir el crecimiento bacteriano de forma efectiva. Las bacterias que presentan con frecuencia esta característica y que son los principales agentes etiológicos de estas infecciones son </w:t>
      </w:r>
      <w:r w:rsidRPr="00C5125D">
        <w:rPr>
          <w:rFonts w:ascii="Times New Roman" w:hAnsi="Times New Roman"/>
          <w:i/>
          <w:iCs/>
          <w:sz w:val="24"/>
          <w:szCs w:val="24"/>
        </w:rPr>
        <w:t>Acinetobacter baumannii, Enterobacter spp, Enterococcus faecium, Klebsiella pneumoniae, Pseudomona aeruginosa</w:t>
      </w:r>
      <w:r w:rsidRPr="00C5125D">
        <w:rPr>
          <w:rFonts w:ascii="Times New Roman" w:hAnsi="Times New Roman"/>
          <w:sz w:val="24"/>
          <w:szCs w:val="24"/>
        </w:rPr>
        <w:t xml:space="preserve"> y </w:t>
      </w:r>
      <w:r w:rsidRPr="00C5125D">
        <w:rPr>
          <w:rFonts w:ascii="Times New Roman" w:hAnsi="Times New Roman"/>
          <w:i/>
          <w:iCs/>
          <w:sz w:val="24"/>
          <w:szCs w:val="24"/>
        </w:rPr>
        <w:t>Staphylococcus aureus</w:t>
      </w:r>
      <w:r w:rsidRPr="00C5125D">
        <w:rPr>
          <w:rFonts w:ascii="Times New Roman" w:hAnsi="Times New Roman"/>
          <w:sz w:val="24"/>
          <w:szCs w:val="24"/>
        </w:rPr>
        <w:t xml:space="preserve"> [</w:t>
      </w:r>
      <w:r>
        <w:rPr>
          <w:rFonts w:ascii="Times New Roman" w:hAnsi="Times New Roman"/>
          <w:sz w:val="24"/>
          <w:szCs w:val="24"/>
        </w:rPr>
        <w:t>Navidinia, 2016</w:t>
      </w:r>
      <w:r w:rsidRPr="00C5125D">
        <w:rPr>
          <w:rFonts w:ascii="Times New Roman" w:hAnsi="Times New Roman"/>
          <w:sz w:val="24"/>
          <w:szCs w:val="24"/>
        </w:rPr>
        <w:t>].</w:t>
      </w:r>
    </w:p>
    <w:p w14:paraId="0A99BD82" w14:textId="2A3055AD" w:rsidR="00C5125D" w:rsidRPr="00C5125D" w:rsidRDefault="00C5125D" w:rsidP="00C5125D">
      <w:pPr>
        <w:spacing w:line="360" w:lineRule="auto"/>
        <w:jc w:val="both"/>
        <w:rPr>
          <w:rFonts w:ascii="Times New Roman" w:hAnsi="Times New Roman"/>
          <w:i/>
          <w:iCs/>
          <w:sz w:val="24"/>
          <w:szCs w:val="24"/>
        </w:rPr>
      </w:pPr>
      <w:r w:rsidRPr="00C5125D">
        <w:rPr>
          <w:rFonts w:ascii="Times New Roman" w:hAnsi="Times New Roman"/>
          <w:i/>
          <w:iCs/>
          <w:sz w:val="24"/>
          <w:szCs w:val="24"/>
        </w:rPr>
        <w:t>1.3 Clasificación de la resistencia a múltiples antibióticos</w:t>
      </w:r>
    </w:p>
    <w:p w14:paraId="4707CEDC" w14:textId="67694D9E"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 xml:space="preserve">Actualmente es posible clasificar a las bacterias </w:t>
      </w:r>
      <w:r w:rsidR="000C3642" w:rsidRPr="00C5125D">
        <w:rPr>
          <w:rFonts w:ascii="Times New Roman" w:hAnsi="Times New Roman"/>
          <w:sz w:val="24"/>
          <w:szCs w:val="24"/>
        </w:rPr>
        <w:t>de acuerdo con el</w:t>
      </w:r>
      <w:r w:rsidRPr="00C5125D">
        <w:rPr>
          <w:rFonts w:ascii="Times New Roman" w:hAnsi="Times New Roman"/>
          <w:sz w:val="24"/>
          <w:szCs w:val="24"/>
        </w:rPr>
        <w:t xml:space="preserve"> grado de </w:t>
      </w:r>
      <w:r w:rsidRPr="00C5125D">
        <w:rPr>
          <w:rFonts w:ascii="Times New Roman" w:hAnsi="Times New Roman"/>
          <w:sz w:val="24"/>
          <w:szCs w:val="24"/>
        </w:rPr>
        <w:lastRenderedPageBreak/>
        <w:t>resistencia que puedan presentar. Multi-Drug Resitance (MDR): No susceptible al menos un agente en tres o más familias de antibióticos; Extreme-Drug Resistance (XDR): No susceptible al menos un agente en todas las familias de antibióticos excepto en dos o menos; Pan-Drug Resistance (PDR): No susceptible a todos los agentes de todas las familias de antibióticos [</w:t>
      </w:r>
      <w:r>
        <w:rPr>
          <w:rFonts w:ascii="Times New Roman" w:hAnsi="Times New Roman"/>
          <w:sz w:val="24"/>
          <w:szCs w:val="24"/>
        </w:rPr>
        <w:t>Magiorakos y col., 2012</w:t>
      </w:r>
      <w:r w:rsidRPr="00C5125D">
        <w:rPr>
          <w:rFonts w:ascii="Times New Roman" w:hAnsi="Times New Roman"/>
          <w:sz w:val="24"/>
          <w:szCs w:val="24"/>
        </w:rPr>
        <w:t>].</w:t>
      </w:r>
    </w:p>
    <w:p w14:paraId="1197B553" w14:textId="1D82C961" w:rsidR="00C5125D" w:rsidRPr="00C5125D" w:rsidRDefault="00C5125D" w:rsidP="00C5125D">
      <w:pPr>
        <w:spacing w:line="360" w:lineRule="auto"/>
        <w:jc w:val="both"/>
        <w:rPr>
          <w:rFonts w:ascii="Times New Roman" w:hAnsi="Times New Roman"/>
          <w:i/>
          <w:iCs/>
          <w:sz w:val="24"/>
          <w:szCs w:val="24"/>
        </w:rPr>
      </w:pPr>
      <w:r w:rsidRPr="00C5125D">
        <w:rPr>
          <w:rFonts w:ascii="Times New Roman" w:hAnsi="Times New Roman"/>
          <w:i/>
          <w:iCs/>
          <w:sz w:val="24"/>
          <w:szCs w:val="24"/>
        </w:rPr>
        <w:t>1.4 Pseudomona aeruginosa multiresistente a antibióticos</w:t>
      </w:r>
    </w:p>
    <w:p w14:paraId="0413FE1C" w14:textId="59AC5D3E"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i/>
          <w:iCs/>
          <w:sz w:val="24"/>
          <w:szCs w:val="24"/>
        </w:rPr>
        <w:t>P. aeruginosa</w:t>
      </w:r>
      <w:r w:rsidRPr="00C5125D">
        <w:rPr>
          <w:rFonts w:ascii="Times New Roman" w:hAnsi="Times New Roman"/>
          <w:sz w:val="24"/>
          <w:szCs w:val="24"/>
        </w:rPr>
        <w:t xml:space="preserve"> es uno de los agentes etiológicos más persistentes en las infecciones nosocomiales debido a sus mecanismos de resistencia frente a antibióticos. Esto se debe a que esta bacteria es capaz de expresar genes asociados a la resistencia intrínseca, tener mutaciones en éstos para conferir nueva resistencia, además de adquirir nuevos genes de resistencia a través de plásmidos [</w:t>
      </w:r>
      <w:r>
        <w:rPr>
          <w:rFonts w:ascii="Times New Roman" w:hAnsi="Times New Roman"/>
          <w:sz w:val="24"/>
          <w:szCs w:val="24"/>
        </w:rPr>
        <w:t>Lambert, 2002</w:t>
      </w:r>
      <w:r w:rsidRPr="00C5125D">
        <w:rPr>
          <w:rFonts w:ascii="Times New Roman" w:hAnsi="Times New Roman"/>
          <w:sz w:val="24"/>
          <w:szCs w:val="24"/>
        </w:rPr>
        <w:t>].</w:t>
      </w:r>
    </w:p>
    <w:p w14:paraId="0E081A31" w14:textId="3E6D03C5" w:rsidR="00C5125D" w:rsidRPr="00C5125D" w:rsidRDefault="00C5125D" w:rsidP="00C5125D">
      <w:pPr>
        <w:spacing w:line="360" w:lineRule="auto"/>
        <w:jc w:val="both"/>
        <w:rPr>
          <w:rFonts w:ascii="Times New Roman" w:hAnsi="Times New Roman"/>
          <w:i/>
          <w:iCs/>
          <w:sz w:val="24"/>
          <w:szCs w:val="24"/>
        </w:rPr>
      </w:pPr>
      <w:r w:rsidRPr="00C5125D">
        <w:rPr>
          <w:rFonts w:ascii="Times New Roman" w:hAnsi="Times New Roman"/>
          <w:i/>
          <w:iCs/>
          <w:sz w:val="24"/>
          <w:szCs w:val="24"/>
        </w:rPr>
        <w:t>1.5 Inhibición de bombas de eflujo de Pseudomona aeruginosa como estrategia en la reversión de multiresistencia a antibióticos</w:t>
      </w:r>
    </w:p>
    <w:p w14:paraId="67E18F1B" w14:textId="6811FE9F"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 xml:space="preserve">Inhibir las bombas de eflujo es prometedor para aumentar la concentración intracelular del antibiótico, restaurar la actividad del antibiótico contra las cepas resistentes y minimizar el desarrollo de nuevas cepas resistentes. Por lo que, el uso de inhibidores de bombas de eflujo junto con antibióticos puede reducir la persistencia de infecciones por </w:t>
      </w:r>
      <w:r w:rsidRPr="00C5125D">
        <w:rPr>
          <w:rFonts w:ascii="Times New Roman" w:hAnsi="Times New Roman"/>
          <w:i/>
          <w:iCs/>
          <w:sz w:val="24"/>
          <w:szCs w:val="24"/>
        </w:rPr>
        <w:t xml:space="preserve">P. aeruginosa </w:t>
      </w:r>
      <w:r w:rsidRPr="00C5125D">
        <w:rPr>
          <w:rFonts w:ascii="Times New Roman" w:hAnsi="Times New Roman"/>
          <w:sz w:val="24"/>
          <w:szCs w:val="24"/>
        </w:rPr>
        <w:t>[</w:t>
      </w:r>
      <w:r>
        <w:rPr>
          <w:rFonts w:ascii="Times New Roman" w:hAnsi="Times New Roman"/>
          <w:sz w:val="24"/>
          <w:szCs w:val="24"/>
        </w:rPr>
        <w:t>Askoura y col., 2011</w:t>
      </w:r>
      <w:r w:rsidRPr="00C5125D">
        <w:rPr>
          <w:rFonts w:ascii="Times New Roman" w:hAnsi="Times New Roman"/>
          <w:sz w:val="24"/>
          <w:szCs w:val="24"/>
        </w:rPr>
        <w:t>].</w:t>
      </w:r>
    </w:p>
    <w:p w14:paraId="6976F154" w14:textId="533BFFAF" w:rsidR="006541C1"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 xml:space="preserve">Este trabajo tiene como propósitos la clasificación de la resistencia a antibióticos, la determinación de las concentraciones mínimas inhibitorias de cuatro antibióticos y la evaluación de la posible modulación de la resistencia asociada a bombas de eflujo de cepas de </w:t>
      </w:r>
      <w:r w:rsidRPr="00C5125D">
        <w:rPr>
          <w:rFonts w:ascii="Times New Roman" w:hAnsi="Times New Roman"/>
          <w:i/>
          <w:iCs/>
          <w:sz w:val="24"/>
          <w:szCs w:val="24"/>
        </w:rPr>
        <w:t>P. aeruginosa</w:t>
      </w:r>
      <w:r w:rsidRPr="00C5125D">
        <w:rPr>
          <w:rFonts w:ascii="Times New Roman" w:hAnsi="Times New Roman"/>
          <w:sz w:val="24"/>
          <w:szCs w:val="24"/>
        </w:rPr>
        <w:t xml:space="preserve"> procedentes de aislados clínicos de un hospital de tercer nivel de la ciudad de León, Guanajuato con base a investigaciones previas con otros modelos de estudio.</w:t>
      </w:r>
    </w:p>
    <w:p w14:paraId="131522BF" w14:textId="549F1884" w:rsidR="006541C1" w:rsidRPr="00A32432"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sidRPr="7CC131D3">
        <w:rPr>
          <w:rFonts w:ascii="Times New Roman" w:eastAsia="Times New Roman" w:hAnsi="Times New Roman" w:cs="Times New Roman"/>
          <w:b/>
          <w:bCs/>
          <w:color w:val="000000" w:themeColor="text1"/>
          <w:sz w:val="24"/>
          <w:szCs w:val="24"/>
          <w:lang w:val="es-ES" w:eastAsia="es-ES"/>
        </w:rPr>
        <w:t xml:space="preserve">2. </w:t>
      </w:r>
      <w:r w:rsidR="00C5125D" w:rsidRPr="00C5125D">
        <w:rPr>
          <w:rFonts w:ascii="Times New Roman" w:eastAsia="Times New Roman" w:hAnsi="Times New Roman" w:cs="Times New Roman"/>
          <w:b/>
          <w:bCs/>
          <w:color w:val="000000" w:themeColor="text1"/>
          <w:sz w:val="24"/>
          <w:szCs w:val="24"/>
          <w:lang w:val="es-ES" w:eastAsia="es-ES"/>
        </w:rPr>
        <w:t>Materiales y métodos</w:t>
      </w:r>
    </w:p>
    <w:p w14:paraId="719E98CB" w14:textId="114F4246" w:rsidR="00C5125D" w:rsidRPr="00C5125D" w:rsidRDefault="00C5125D" w:rsidP="00C5125D">
      <w:pPr>
        <w:spacing w:line="360" w:lineRule="auto"/>
        <w:jc w:val="both"/>
        <w:rPr>
          <w:rFonts w:ascii="Times New Roman" w:hAnsi="Times New Roman"/>
          <w:i/>
          <w:iCs/>
          <w:sz w:val="24"/>
          <w:szCs w:val="24"/>
        </w:rPr>
      </w:pPr>
      <w:r w:rsidRPr="00C5125D">
        <w:rPr>
          <w:rFonts w:ascii="Times New Roman" w:hAnsi="Times New Roman"/>
          <w:i/>
          <w:iCs/>
          <w:sz w:val="24"/>
          <w:szCs w:val="24"/>
        </w:rPr>
        <w:t>2.1 Obtención y conservación de cepas de Pseudomona aeruginosa</w:t>
      </w:r>
    </w:p>
    <w:p w14:paraId="6C5890FD" w14:textId="77777777"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 xml:space="preserve">Se obtuvieron tres cepas de </w:t>
      </w:r>
      <w:r w:rsidRPr="00C5125D">
        <w:rPr>
          <w:rFonts w:ascii="Times New Roman" w:hAnsi="Times New Roman"/>
          <w:i/>
          <w:iCs/>
          <w:sz w:val="24"/>
          <w:szCs w:val="24"/>
        </w:rPr>
        <w:t>P. aeruginosa</w:t>
      </w:r>
      <w:r w:rsidRPr="00C5125D">
        <w:rPr>
          <w:rFonts w:ascii="Times New Roman" w:hAnsi="Times New Roman"/>
          <w:sz w:val="24"/>
          <w:szCs w:val="24"/>
        </w:rPr>
        <w:t xml:space="preserve"> identificadas como PA54 AB, PA238 URO y PA255 URO de diversas muestras </w:t>
      </w:r>
      <w:r w:rsidRPr="00C5125D">
        <w:rPr>
          <w:rFonts w:ascii="Times New Roman" w:hAnsi="Times New Roman"/>
          <w:sz w:val="24"/>
          <w:szCs w:val="24"/>
        </w:rPr>
        <w:lastRenderedPageBreak/>
        <w:t>clínicas de un hospital de tercer nivel de la ciudad de León, Guanajuato. Estos aislados clínicos se cultivaron en medio agar sangre (Becton Dickinson) para luego conservarse a -70°C en medio Louria Bertani (Becton Dickinson) y glicerol 10% (v/v) para posteriores ensayos.</w:t>
      </w:r>
    </w:p>
    <w:p w14:paraId="536BB7B3" w14:textId="64D62402" w:rsidR="00C5125D" w:rsidRPr="00C5125D" w:rsidRDefault="00C5125D" w:rsidP="00C5125D">
      <w:pPr>
        <w:spacing w:line="360" w:lineRule="auto"/>
        <w:jc w:val="both"/>
        <w:rPr>
          <w:rFonts w:ascii="Times New Roman" w:hAnsi="Times New Roman"/>
          <w:i/>
          <w:iCs/>
          <w:sz w:val="24"/>
          <w:szCs w:val="24"/>
        </w:rPr>
      </w:pPr>
      <w:r w:rsidRPr="00C5125D">
        <w:rPr>
          <w:rFonts w:ascii="Times New Roman" w:hAnsi="Times New Roman"/>
          <w:i/>
          <w:iCs/>
          <w:sz w:val="24"/>
          <w:szCs w:val="24"/>
        </w:rPr>
        <w:t>2.2 Clasificación de la resistencia de aislados clínicos de Pseudomona aeruginosa</w:t>
      </w:r>
    </w:p>
    <w:p w14:paraId="66731F2C" w14:textId="51E05EAB"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Los perfiles de susceptibilidad fueron realizados en el HRAEB, los cuales se complementaron con otros antibióticos evaluados mediante la técnica de Kirby – Bauer [</w:t>
      </w:r>
      <w:r>
        <w:rPr>
          <w:rFonts w:ascii="Times New Roman" w:hAnsi="Times New Roman"/>
          <w:sz w:val="24"/>
          <w:szCs w:val="24"/>
        </w:rPr>
        <w:t>López y col., 2017</w:t>
      </w:r>
      <w:r w:rsidRPr="00C5125D">
        <w:rPr>
          <w:rFonts w:ascii="Times New Roman" w:hAnsi="Times New Roman"/>
          <w:sz w:val="24"/>
          <w:szCs w:val="24"/>
        </w:rPr>
        <w:t>].</w:t>
      </w:r>
    </w:p>
    <w:p w14:paraId="697FD052" w14:textId="11628903"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 xml:space="preserve">En función del perfil de susceptibilidad para cada cepa de </w:t>
      </w:r>
      <w:r w:rsidRPr="00C5125D">
        <w:rPr>
          <w:rFonts w:ascii="Times New Roman" w:hAnsi="Times New Roman"/>
          <w:i/>
          <w:iCs/>
          <w:sz w:val="24"/>
          <w:szCs w:val="24"/>
        </w:rPr>
        <w:t xml:space="preserve">P. aeruginosa </w:t>
      </w:r>
      <w:r w:rsidRPr="00C5125D">
        <w:rPr>
          <w:rFonts w:ascii="Times New Roman" w:hAnsi="Times New Roman"/>
          <w:sz w:val="24"/>
          <w:szCs w:val="24"/>
        </w:rPr>
        <w:t xml:space="preserve">y de acuerdo </w:t>
      </w:r>
      <w:r>
        <w:rPr>
          <w:rFonts w:ascii="Times New Roman" w:hAnsi="Times New Roman"/>
          <w:sz w:val="24"/>
          <w:szCs w:val="24"/>
        </w:rPr>
        <w:t>con</w:t>
      </w:r>
      <w:r w:rsidRPr="00C5125D">
        <w:rPr>
          <w:rFonts w:ascii="Times New Roman" w:hAnsi="Times New Roman"/>
          <w:sz w:val="24"/>
          <w:szCs w:val="24"/>
        </w:rPr>
        <w:t xml:space="preserve"> los criterios establecidos para clasificar a las bacterias multiresistentes, se caracterizaron las tres cepas, según fuera, como MDR, XDR, PDR y No Multiresistente [</w:t>
      </w:r>
      <w:r>
        <w:rPr>
          <w:rFonts w:ascii="Times New Roman" w:hAnsi="Times New Roman"/>
          <w:sz w:val="24"/>
          <w:szCs w:val="24"/>
        </w:rPr>
        <w:t>Magiorakos y col., 2012</w:t>
      </w:r>
      <w:r w:rsidRPr="00C5125D">
        <w:rPr>
          <w:rFonts w:ascii="Times New Roman" w:hAnsi="Times New Roman"/>
          <w:sz w:val="24"/>
          <w:szCs w:val="24"/>
        </w:rPr>
        <w:t>].</w:t>
      </w:r>
    </w:p>
    <w:p w14:paraId="6767C4DC" w14:textId="0F1DFAA7" w:rsidR="00C5125D" w:rsidRPr="00C5125D" w:rsidRDefault="00C5125D" w:rsidP="00C5125D">
      <w:pPr>
        <w:spacing w:line="360" w:lineRule="auto"/>
        <w:jc w:val="both"/>
        <w:rPr>
          <w:rFonts w:ascii="Times New Roman" w:hAnsi="Times New Roman"/>
          <w:i/>
          <w:iCs/>
          <w:sz w:val="24"/>
          <w:szCs w:val="24"/>
        </w:rPr>
      </w:pPr>
      <w:r w:rsidRPr="00C5125D">
        <w:rPr>
          <w:rFonts w:ascii="Times New Roman" w:hAnsi="Times New Roman"/>
          <w:i/>
          <w:iCs/>
          <w:sz w:val="24"/>
          <w:szCs w:val="24"/>
        </w:rPr>
        <w:t>2.3 Determinación de la Concentración Mínima Inhibitoria (CMI)</w:t>
      </w:r>
    </w:p>
    <w:p w14:paraId="12F81B6B" w14:textId="4A714758" w:rsidR="00C5125D" w:rsidRPr="00C5125D"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 xml:space="preserve">A partir de los cultivos conservados en medio Louria Bertani y glicerol 10% (v/v), se inocularon a placas con agar sangre (Becton Dickinson) para incubarlas por 48 </w:t>
      </w:r>
      <w:r w:rsidRPr="00C5125D">
        <w:rPr>
          <w:rFonts w:ascii="Times New Roman" w:hAnsi="Times New Roman"/>
          <w:sz w:val="24"/>
          <w:szCs w:val="24"/>
        </w:rPr>
        <w:t xml:space="preserve">horas a 37°C. Se empleó la técnica de microdilución en placa de 96 pozos con medio Mueller – Hinton Broth (Becton Dickinson) y se realizaron diluciones dobles seriadas para los antibióticos ciprofloxacino (Sigma - Aldich), cloranfenicol (Sigma - Aldrich), gentamicina (Sigma - Aldrich) y tetraciclina (Sigma - Aldrich), en un rango de concentración de 4 a 256 μg/ml, excepto para cloranfenicol que fue de 4 a 1024 μg/ml, de acuerdo </w:t>
      </w:r>
      <w:r w:rsidR="00C67383">
        <w:rPr>
          <w:rFonts w:ascii="Times New Roman" w:hAnsi="Times New Roman"/>
          <w:sz w:val="24"/>
          <w:szCs w:val="24"/>
        </w:rPr>
        <w:t>con el</w:t>
      </w:r>
      <w:r w:rsidRPr="00C5125D">
        <w:rPr>
          <w:rFonts w:ascii="Times New Roman" w:hAnsi="Times New Roman"/>
          <w:sz w:val="24"/>
          <w:szCs w:val="24"/>
        </w:rPr>
        <w:t xml:space="preserve"> documento M07 – A9 del CLSI [</w:t>
      </w:r>
      <w:r w:rsidR="00C67383">
        <w:rPr>
          <w:rFonts w:ascii="Times New Roman" w:hAnsi="Times New Roman"/>
          <w:sz w:val="24"/>
          <w:szCs w:val="24"/>
        </w:rPr>
        <w:t>Edition, 2012</w:t>
      </w:r>
      <w:r w:rsidRPr="00C5125D">
        <w:rPr>
          <w:rFonts w:ascii="Times New Roman" w:hAnsi="Times New Roman"/>
          <w:sz w:val="24"/>
          <w:szCs w:val="24"/>
        </w:rPr>
        <w:t>].</w:t>
      </w:r>
    </w:p>
    <w:p w14:paraId="53409623" w14:textId="7E589757" w:rsidR="00C5125D" w:rsidRPr="00C67383" w:rsidRDefault="00C67383" w:rsidP="00C5125D">
      <w:pPr>
        <w:spacing w:line="360" w:lineRule="auto"/>
        <w:jc w:val="both"/>
        <w:rPr>
          <w:rFonts w:ascii="Times New Roman" w:hAnsi="Times New Roman"/>
          <w:i/>
          <w:iCs/>
          <w:sz w:val="24"/>
          <w:szCs w:val="24"/>
        </w:rPr>
      </w:pPr>
      <w:r w:rsidRPr="00C67383">
        <w:rPr>
          <w:rFonts w:ascii="Times New Roman" w:hAnsi="Times New Roman"/>
          <w:i/>
          <w:iCs/>
          <w:sz w:val="24"/>
          <w:szCs w:val="24"/>
        </w:rPr>
        <w:t xml:space="preserve">2.4 </w:t>
      </w:r>
      <w:r w:rsidR="00C5125D" w:rsidRPr="00C67383">
        <w:rPr>
          <w:rFonts w:ascii="Times New Roman" w:hAnsi="Times New Roman"/>
          <w:i/>
          <w:iCs/>
          <w:sz w:val="24"/>
          <w:szCs w:val="24"/>
        </w:rPr>
        <w:t>Efecto de derivados de maleimidas en la modulación de resistencia asociada a bombas de eflujo</w:t>
      </w:r>
    </w:p>
    <w:p w14:paraId="11810FC4" w14:textId="21BF4B93" w:rsidR="006541C1" w:rsidRDefault="00C5125D" w:rsidP="00C5125D">
      <w:pPr>
        <w:spacing w:line="360" w:lineRule="auto"/>
        <w:jc w:val="both"/>
        <w:rPr>
          <w:rFonts w:ascii="Times New Roman" w:hAnsi="Times New Roman"/>
          <w:sz w:val="24"/>
          <w:szCs w:val="24"/>
        </w:rPr>
      </w:pPr>
      <w:r w:rsidRPr="00C5125D">
        <w:rPr>
          <w:rFonts w:ascii="Times New Roman" w:hAnsi="Times New Roman"/>
          <w:sz w:val="24"/>
          <w:szCs w:val="24"/>
        </w:rPr>
        <w:t xml:space="preserve">Se determinó la CMI para los antibióticos ciprofloxacino, cloranfenicol, gentamicina y tetraciclina, con el método ya descrito, en combinación con dos moléculas derivadas de maleimidas, previamente seleccionadas. Una vez ajustada la D.O.630nm bacteriana a 0, 04, se pre-incubó cada molécula a una concentración de 10 μg/ml, por 15 min a 37°C, posteriormente se procedió a montar el ensayo para determinar la CMI como se describió anteriormente. El efecto modulador se observa cuando hay una </w:t>
      </w:r>
      <w:r w:rsidRPr="00C5125D">
        <w:rPr>
          <w:rFonts w:ascii="Times New Roman" w:hAnsi="Times New Roman"/>
          <w:sz w:val="24"/>
          <w:szCs w:val="24"/>
        </w:rPr>
        <w:lastRenderedPageBreak/>
        <w:t>disminución en la CMI para el antibiótico en presencia de los derivados de maleimidas [</w:t>
      </w:r>
      <w:r w:rsidR="00C67383">
        <w:rPr>
          <w:rFonts w:ascii="Times New Roman" w:hAnsi="Times New Roman"/>
          <w:sz w:val="24"/>
          <w:szCs w:val="24"/>
        </w:rPr>
        <w:t>Reyes-Gualito, 2018</w:t>
      </w:r>
      <w:r w:rsidRPr="00C5125D">
        <w:rPr>
          <w:rFonts w:ascii="Times New Roman" w:hAnsi="Times New Roman"/>
          <w:sz w:val="24"/>
          <w:szCs w:val="24"/>
        </w:rPr>
        <w:t>].</w:t>
      </w:r>
    </w:p>
    <w:p w14:paraId="0113BAEB" w14:textId="47D38630" w:rsidR="00C67383" w:rsidRPr="00A32432" w:rsidRDefault="00C67383" w:rsidP="00C67383">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themeColor="text1"/>
          <w:sz w:val="24"/>
          <w:szCs w:val="24"/>
          <w:lang w:val="es-ES" w:eastAsia="es-ES"/>
        </w:rPr>
        <w:t>3</w:t>
      </w:r>
      <w:r w:rsidRPr="7CC131D3">
        <w:rPr>
          <w:rFonts w:ascii="Times New Roman" w:eastAsia="Times New Roman" w:hAnsi="Times New Roman" w:cs="Times New Roman"/>
          <w:b/>
          <w:bCs/>
          <w:color w:val="000000" w:themeColor="text1"/>
          <w:sz w:val="24"/>
          <w:szCs w:val="24"/>
          <w:lang w:val="es-ES" w:eastAsia="es-ES"/>
        </w:rPr>
        <w:t xml:space="preserve">. </w:t>
      </w:r>
      <w:r>
        <w:rPr>
          <w:rFonts w:ascii="Times New Roman" w:eastAsia="Times New Roman" w:hAnsi="Times New Roman" w:cs="Times New Roman"/>
          <w:b/>
          <w:bCs/>
          <w:color w:val="000000" w:themeColor="text1"/>
          <w:sz w:val="24"/>
          <w:szCs w:val="24"/>
          <w:lang w:val="es-ES" w:eastAsia="es-ES"/>
        </w:rPr>
        <w:t>Resultados y discusión</w:t>
      </w:r>
    </w:p>
    <w:p w14:paraId="0B6AFD52" w14:textId="25E21314" w:rsidR="00C67383" w:rsidRPr="00C67383" w:rsidRDefault="00C67383" w:rsidP="00C67383">
      <w:pPr>
        <w:spacing w:line="360" w:lineRule="auto"/>
        <w:jc w:val="both"/>
        <w:rPr>
          <w:rFonts w:ascii="Times New Roman" w:hAnsi="Times New Roman"/>
          <w:i/>
          <w:iCs/>
          <w:sz w:val="24"/>
          <w:szCs w:val="24"/>
        </w:rPr>
      </w:pPr>
      <w:r w:rsidRPr="00C67383">
        <w:rPr>
          <w:rFonts w:ascii="Times New Roman" w:hAnsi="Times New Roman"/>
          <w:i/>
          <w:iCs/>
          <w:sz w:val="24"/>
          <w:szCs w:val="24"/>
        </w:rPr>
        <w:t>3.1 Clasificación de la resistencia de aislados clínicos de Pseudomona aeruginosa</w:t>
      </w:r>
    </w:p>
    <w:p w14:paraId="2284DC9A" w14:textId="7A09D7C4" w:rsidR="00C67383" w:rsidRDefault="00C67383" w:rsidP="00C67383">
      <w:pPr>
        <w:spacing w:line="360" w:lineRule="auto"/>
        <w:jc w:val="both"/>
        <w:rPr>
          <w:rFonts w:ascii="Times New Roman" w:hAnsi="Times New Roman"/>
          <w:sz w:val="24"/>
          <w:szCs w:val="24"/>
        </w:rPr>
      </w:pPr>
      <w:r w:rsidRPr="00C67383">
        <w:rPr>
          <w:rFonts w:ascii="Times New Roman" w:hAnsi="Times New Roman"/>
          <w:sz w:val="24"/>
          <w:szCs w:val="24"/>
        </w:rPr>
        <w:t xml:space="preserve">A partir de la información disponible de la susceptibilidad de cada una de las tres cepas de </w:t>
      </w:r>
      <w:r w:rsidRPr="00C67383">
        <w:rPr>
          <w:rFonts w:ascii="Times New Roman" w:hAnsi="Times New Roman"/>
          <w:i/>
          <w:iCs/>
          <w:sz w:val="24"/>
          <w:szCs w:val="24"/>
        </w:rPr>
        <w:t>P. aeruginosa</w:t>
      </w:r>
      <w:r w:rsidRPr="00C67383">
        <w:rPr>
          <w:rFonts w:ascii="Times New Roman" w:hAnsi="Times New Roman"/>
          <w:sz w:val="24"/>
          <w:szCs w:val="24"/>
        </w:rPr>
        <w:t xml:space="preserve"> y con base a los criterios internacionales para clasificar a las bacterias multiresistentes, se propusieron los posibles fenotipos de resistencia para estas cepas (Tabla 1) [</w:t>
      </w:r>
      <w:r>
        <w:rPr>
          <w:rFonts w:ascii="Times New Roman" w:hAnsi="Times New Roman"/>
          <w:sz w:val="24"/>
          <w:szCs w:val="24"/>
        </w:rPr>
        <w:t>Magiorakos, 2012; López y col., 2017</w:t>
      </w:r>
      <w:r w:rsidRPr="00C67383">
        <w:rPr>
          <w:rFonts w:ascii="Times New Roman" w:hAnsi="Times New Roman"/>
          <w:sz w:val="24"/>
          <w:szCs w:val="24"/>
        </w:rPr>
        <w:t xml:space="preserve">]. Cuando una infección nosocomial es causada por </w:t>
      </w:r>
      <w:r w:rsidRPr="00C67383">
        <w:rPr>
          <w:rFonts w:ascii="Times New Roman" w:hAnsi="Times New Roman"/>
          <w:i/>
          <w:iCs/>
          <w:sz w:val="24"/>
          <w:szCs w:val="24"/>
        </w:rPr>
        <w:t>P. aeruginosa</w:t>
      </w:r>
      <w:r w:rsidRPr="00C67383">
        <w:rPr>
          <w:rFonts w:ascii="Times New Roman" w:hAnsi="Times New Roman"/>
          <w:sz w:val="24"/>
          <w:szCs w:val="24"/>
        </w:rPr>
        <w:t xml:space="preserve">, es común que estas cepas presenten múltiples resistencias a antibióticos, según lo señalan algunos estudios, el fenotipo más frecuente es XDR, seguido por el MDR y por último el PDR, aunque esto puede variar </w:t>
      </w:r>
      <w:r w:rsidR="00773805" w:rsidRPr="00C67383">
        <w:rPr>
          <w:rFonts w:ascii="Times New Roman" w:hAnsi="Times New Roman"/>
          <w:sz w:val="24"/>
          <w:szCs w:val="24"/>
        </w:rPr>
        <w:t>de acuerdo con</w:t>
      </w:r>
      <w:r w:rsidRPr="00C67383">
        <w:rPr>
          <w:rFonts w:ascii="Times New Roman" w:hAnsi="Times New Roman"/>
          <w:sz w:val="24"/>
          <w:szCs w:val="24"/>
        </w:rPr>
        <w:t xml:space="preserve"> la región [</w:t>
      </w:r>
      <w:r>
        <w:rPr>
          <w:rFonts w:ascii="Times New Roman" w:hAnsi="Times New Roman"/>
          <w:sz w:val="24"/>
          <w:szCs w:val="24"/>
        </w:rPr>
        <w:t>Aguilar y col., 2017</w:t>
      </w:r>
      <w:r w:rsidRPr="00C67383">
        <w:rPr>
          <w:rFonts w:ascii="Times New Roman" w:hAnsi="Times New Roman"/>
          <w:sz w:val="24"/>
          <w:szCs w:val="24"/>
        </w:rPr>
        <w:t>].</w:t>
      </w:r>
    </w:p>
    <w:p w14:paraId="5E0FC10E" w14:textId="094721D8" w:rsidR="00C67383" w:rsidRPr="00C67383" w:rsidRDefault="00C67383" w:rsidP="00C67383">
      <w:pPr>
        <w:spacing w:line="360" w:lineRule="auto"/>
        <w:jc w:val="both"/>
        <w:rPr>
          <w:rFonts w:ascii="Times New Roman" w:hAnsi="Times New Roman"/>
          <w:i/>
          <w:iCs/>
          <w:sz w:val="24"/>
          <w:szCs w:val="24"/>
        </w:rPr>
      </w:pPr>
      <w:r w:rsidRPr="00C67383">
        <w:rPr>
          <w:rFonts w:ascii="Times New Roman" w:hAnsi="Times New Roman"/>
          <w:i/>
          <w:iCs/>
          <w:sz w:val="24"/>
          <w:szCs w:val="24"/>
        </w:rPr>
        <w:t>3.2 Determinación de la Concentración Mínima Inhibitoria (CMI)</w:t>
      </w:r>
    </w:p>
    <w:p w14:paraId="045CFA4D" w14:textId="46F2E42F" w:rsidR="008F28DD" w:rsidRDefault="00C67383" w:rsidP="008F28DD">
      <w:pPr>
        <w:spacing w:line="360" w:lineRule="auto"/>
        <w:jc w:val="both"/>
        <w:rPr>
          <w:rFonts w:ascii="Times New Roman" w:hAnsi="Times New Roman"/>
          <w:sz w:val="24"/>
          <w:szCs w:val="24"/>
        </w:rPr>
      </w:pPr>
      <w:r w:rsidRPr="00C67383">
        <w:rPr>
          <w:rFonts w:ascii="Times New Roman" w:hAnsi="Times New Roman"/>
          <w:sz w:val="24"/>
          <w:szCs w:val="24"/>
        </w:rPr>
        <w:t xml:space="preserve">Se evaluaron cuatro antibióticos que son sustrato de bombas de eflujo descritas en </w:t>
      </w:r>
      <w:r w:rsidRPr="00C67383">
        <w:rPr>
          <w:rFonts w:ascii="Times New Roman" w:hAnsi="Times New Roman"/>
          <w:i/>
          <w:iCs/>
          <w:sz w:val="24"/>
          <w:szCs w:val="24"/>
        </w:rPr>
        <w:t>P. aeruginosa</w:t>
      </w:r>
      <w:r w:rsidRPr="00C67383">
        <w:rPr>
          <w:rFonts w:ascii="Times New Roman" w:hAnsi="Times New Roman"/>
          <w:sz w:val="24"/>
          <w:szCs w:val="24"/>
        </w:rPr>
        <w:t xml:space="preserve"> [Aeschlimann</w:t>
      </w:r>
      <w:r>
        <w:rPr>
          <w:rFonts w:ascii="Times New Roman" w:hAnsi="Times New Roman"/>
          <w:sz w:val="24"/>
          <w:szCs w:val="24"/>
        </w:rPr>
        <w:t>, 2003</w:t>
      </w:r>
      <w:r w:rsidRPr="00C67383">
        <w:rPr>
          <w:rFonts w:ascii="Times New Roman" w:hAnsi="Times New Roman"/>
          <w:sz w:val="24"/>
          <w:szCs w:val="24"/>
        </w:rPr>
        <w:t>]. La bomba de eflujo MexA – MexB OprM se expresa de manera constitutiva, mientras que, las bombas de eflujo MexC – MexD – OprJ, MexE – MexF – OprN y MexX – MexY – OprM se expresan de manera inducible [</w:t>
      </w:r>
      <w:r>
        <w:rPr>
          <w:rFonts w:ascii="Times New Roman" w:hAnsi="Times New Roman"/>
          <w:sz w:val="24"/>
          <w:szCs w:val="24"/>
        </w:rPr>
        <w:t>Li y col., 2015</w:t>
      </w:r>
      <w:r w:rsidRPr="00C67383">
        <w:rPr>
          <w:rFonts w:ascii="Times New Roman" w:hAnsi="Times New Roman"/>
          <w:sz w:val="24"/>
          <w:szCs w:val="24"/>
        </w:rPr>
        <w:t xml:space="preserve">]. Los resultados de la determinación de CMI se observan en la Tabla 2. En el caso de la cepa identificada como P54 AB presenta resistencia a ciprofloxacino en el punto de corte, se debe posiblemente a que esta cepa ha desarrollado poca resistencia a los antibióticos de la familia de fluoroquinolonas a través de modificaciones en el sitio de acción (DNAgirasa y topoisomerasa IV), por plásmidos transferibles (PMQR) o mutaciones en genes que regulan la expresión de bombas de eflujo y la disminución de la expresión de porinas de la membrana externa, ya que estos mecanismos son los que se asocian a la resistencia a las fluoroquinolonas en </w:t>
      </w:r>
      <w:r w:rsidRPr="00C67383">
        <w:rPr>
          <w:rFonts w:ascii="Times New Roman" w:hAnsi="Times New Roman"/>
          <w:i/>
          <w:iCs/>
          <w:sz w:val="24"/>
          <w:szCs w:val="24"/>
        </w:rPr>
        <w:t>P. aeruginosa</w:t>
      </w:r>
      <w:r w:rsidRPr="00C67383">
        <w:rPr>
          <w:rFonts w:ascii="Times New Roman" w:hAnsi="Times New Roman"/>
          <w:sz w:val="24"/>
          <w:szCs w:val="24"/>
        </w:rPr>
        <w:t xml:space="preserve"> [</w:t>
      </w:r>
      <w:r>
        <w:rPr>
          <w:rFonts w:ascii="Times New Roman" w:hAnsi="Times New Roman"/>
          <w:sz w:val="24"/>
          <w:szCs w:val="24"/>
        </w:rPr>
        <w:t>Patel y col., 2015; Yang y col., 2015</w:t>
      </w:r>
      <w:r w:rsidRPr="00C67383">
        <w:rPr>
          <w:rFonts w:ascii="Times New Roman" w:hAnsi="Times New Roman"/>
          <w:sz w:val="24"/>
          <w:szCs w:val="24"/>
        </w:rPr>
        <w:t xml:space="preserve">]. El hecho que las cepas identificadas como PA238 URO y PA255 URO presentaran CMI relativamente altas para ciertos antibióticos (Tabla 2), se debe a que </w:t>
      </w:r>
      <w:r w:rsidRPr="008F28DD">
        <w:rPr>
          <w:rFonts w:ascii="Times New Roman" w:hAnsi="Times New Roman"/>
          <w:i/>
          <w:iCs/>
          <w:sz w:val="24"/>
          <w:szCs w:val="24"/>
        </w:rPr>
        <w:t>P. aeruginosa</w:t>
      </w:r>
      <w:r w:rsidRPr="00C67383">
        <w:rPr>
          <w:rFonts w:ascii="Times New Roman" w:hAnsi="Times New Roman"/>
          <w:sz w:val="24"/>
          <w:szCs w:val="24"/>
        </w:rPr>
        <w:t xml:space="preserve"> cuenta con otros </w:t>
      </w:r>
      <w:r w:rsidRPr="00C67383">
        <w:rPr>
          <w:rFonts w:ascii="Times New Roman" w:hAnsi="Times New Roman"/>
          <w:sz w:val="24"/>
          <w:szCs w:val="24"/>
        </w:rPr>
        <w:lastRenderedPageBreak/>
        <w:t>mecanismos de resistencia distintos a bombas de eflujo [</w:t>
      </w:r>
      <w:r w:rsidR="008F28DD">
        <w:rPr>
          <w:rFonts w:ascii="Times New Roman" w:hAnsi="Times New Roman"/>
          <w:sz w:val="24"/>
          <w:szCs w:val="24"/>
        </w:rPr>
        <w:t>Lambert, 2002</w:t>
      </w:r>
      <w:r w:rsidRPr="00C67383">
        <w:rPr>
          <w:rFonts w:ascii="Times New Roman" w:hAnsi="Times New Roman"/>
          <w:sz w:val="24"/>
          <w:szCs w:val="24"/>
        </w:rPr>
        <w:t>]. Por ejemplo, los mecanismos descritos anteriormente para la resistencia a la familia de antibióticos fluoroquinolonas, así como la</w:t>
      </w:r>
      <w:r w:rsidR="008F28DD">
        <w:rPr>
          <w:rFonts w:ascii="Times New Roman" w:hAnsi="Times New Roman"/>
          <w:sz w:val="24"/>
          <w:szCs w:val="24"/>
        </w:rPr>
        <w:t xml:space="preserve"> </w:t>
      </w:r>
      <w:r w:rsidR="008F28DD" w:rsidRPr="008F28DD">
        <w:rPr>
          <w:rFonts w:ascii="Times New Roman" w:hAnsi="Times New Roman"/>
          <w:sz w:val="24"/>
          <w:szCs w:val="24"/>
        </w:rPr>
        <w:t>resistencia intrínseca a cloranfenicol y tetraciclina, la cual es mediada principalmente por la bomba de eflujo MexA – MexB – OprM y en concentraciones debajo de la CMI se genera la sobreexpresión de la bomba de eflujo MexX – MexY – OprM [</w:t>
      </w:r>
      <w:r w:rsidR="008F28DD">
        <w:rPr>
          <w:rFonts w:ascii="Times New Roman" w:hAnsi="Times New Roman"/>
          <w:sz w:val="24"/>
          <w:szCs w:val="24"/>
        </w:rPr>
        <w:t>Morita y col., 2013;</w:t>
      </w:r>
      <w:r w:rsidR="008F28DD" w:rsidRPr="008F28DD">
        <w:rPr>
          <w:rFonts w:ascii="Times New Roman" w:hAnsi="Times New Roman"/>
          <w:sz w:val="24"/>
          <w:szCs w:val="24"/>
        </w:rPr>
        <w:t xml:space="preserve"> </w:t>
      </w:r>
      <w:r w:rsidR="008F28DD">
        <w:rPr>
          <w:rFonts w:ascii="Times New Roman" w:hAnsi="Times New Roman"/>
          <w:sz w:val="24"/>
          <w:szCs w:val="24"/>
        </w:rPr>
        <w:t>Yang y col., 2015</w:t>
      </w:r>
      <w:r w:rsidR="008F28DD" w:rsidRPr="008F28DD">
        <w:rPr>
          <w:rFonts w:ascii="Times New Roman" w:hAnsi="Times New Roman"/>
          <w:sz w:val="24"/>
          <w:szCs w:val="24"/>
        </w:rPr>
        <w:t>].</w:t>
      </w:r>
    </w:p>
    <w:p w14:paraId="7DFB05A1" w14:textId="3812DE9C" w:rsidR="008F28DD" w:rsidRPr="00773805" w:rsidRDefault="00773805" w:rsidP="008F28DD">
      <w:pPr>
        <w:spacing w:line="360" w:lineRule="auto"/>
        <w:jc w:val="both"/>
        <w:rPr>
          <w:rFonts w:ascii="Times New Roman" w:hAnsi="Times New Roman"/>
          <w:i/>
          <w:iCs/>
          <w:sz w:val="24"/>
          <w:szCs w:val="24"/>
        </w:rPr>
      </w:pPr>
      <w:r w:rsidRPr="00773805">
        <w:rPr>
          <w:rFonts w:ascii="Times New Roman" w:hAnsi="Times New Roman"/>
          <w:i/>
          <w:iCs/>
          <w:sz w:val="24"/>
          <w:szCs w:val="24"/>
        </w:rPr>
        <w:t xml:space="preserve">3.3 </w:t>
      </w:r>
      <w:r w:rsidR="008F28DD" w:rsidRPr="00773805">
        <w:rPr>
          <w:rFonts w:ascii="Times New Roman" w:hAnsi="Times New Roman"/>
          <w:i/>
          <w:iCs/>
          <w:sz w:val="24"/>
          <w:szCs w:val="24"/>
        </w:rPr>
        <w:t>Efecto de derivados de maleimidas en la modulación de resistencia asociada a bombas de eflujo</w:t>
      </w:r>
    </w:p>
    <w:p w14:paraId="6007C090" w14:textId="0AFA7092" w:rsidR="006541C1" w:rsidRDefault="008F28DD" w:rsidP="008F28DD">
      <w:pPr>
        <w:spacing w:line="360" w:lineRule="auto"/>
        <w:jc w:val="both"/>
        <w:rPr>
          <w:rFonts w:ascii="Times New Roman" w:hAnsi="Times New Roman"/>
          <w:sz w:val="24"/>
          <w:szCs w:val="24"/>
        </w:rPr>
      </w:pPr>
      <w:r w:rsidRPr="008F28DD">
        <w:rPr>
          <w:rFonts w:ascii="Times New Roman" w:hAnsi="Times New Roman"/>
          <w:sz w:val="24"/>
          <w:szCs w:val="24"/>
        </w:rPr>
        <w:t xml:space="preserve">Previamente, se identificaron cinco moléculas de derivados de maleimidas con efecto modulador en la resistencia asociada a bombas de eflujo tanto en </w:t>
      </w:r>
      <w:r w:rsidRPr="008F28DD">
        <w:rPr>
          <w:rFonts w:ascii="Times New Roman" w:hAnsi="Times New Roman"/>
          <w:i/>
          <w:iCs/>
          <w:sz w:val="24"/>
          <w:szCs w:val="24"/>
        </w:rPr>
        <w:t>Bacillus subtilis</w:t>
      </w:r>
      <w:r w:rsidRPr="008F28DD">
        <w:rPr>
          <w:rFonts w:ascii="Times New Roman" w:hAnsi="Times New Roman"/>
          <w:sz w:val="24"/>
          <w:szCs w:val="24"/>
        </w:rPr>
        <w:t>, como en otras bacterias gramnegativas [</w:t>
      </w:r>
      <w:r>
        <w:rPr>
          <w:rFonts w:ascii="Times New Roman" w:hAnsi="Times New Roman"/>
          <w:sz w:val="24"/>
          <w:szCs w:val="24"/>
        </w:rPr>
        <w:t>Reyes-Gualito, 2018;</w:t>
      </w:r>
      <w:r w:rsidR="00773805">
        <w:rPr>
          <w:rFonts w:ascii="Times New Roman" w:hAnsi="Times New Roman"/>
          <w:sz w:val="24"/>
          <w:szCs w:val="24"/>
        </w:rPr>
        <w:t xml:space="preserve"> </w:t>
      </w:r>
      <w:r>
        <w:rPr>
          <w:rFonts w:ascii="Times New Roman" w:hAnsi="Times New Roman"/>
          <w:sz w:val="24"/>
          <w:szCs w:val="24"/>
        </w:rPr>
        <w:t>Aguilar-Granados, 2017</w:t>
      </w:r>
      <w:r w:rsidRPr="008F28DD">
        <w:rPr>
          <w:rFonts w:ascii="Times New Roman" w:hAnsi="Times New Roman"/>
          <w:sz w:val="24"/>
          <w:szCs w:val="24"/>
        </w:rPr>
        <w:t xml:space="preserve">]. En el presente trabajo se evaluaron dos de esas cinco moléculas (M10 y M11) en cepas de </w:t>
      </w:r>
      <w:r w:rsidRPr="008F28DD">
        <w:rPr>
          <w:rFonts w:ascii="Times New Roman" w:hAnsi="Times New Roman"/>
          <w:i/>
          <w:iCs/>
          <w:sz w:val="24"/>
          <w:szCs w:val="24"/>
        </w:rPr>
        <w:t>P. aeruginosa</w:t>
      </w:r>
      <w:r w:rsidRPr="008F28DD">
        <w:rPr>
          <w:rFonts w:ascii="Times New Roman" w:hAnsi="Times New Roman"/>
          <w:sz w:val="24"/>
          <w:szCs w:val="24"/>
        </w:rPr>
        <w:t xml:space="preserve"> y como se puede observar en la Tabla 2, no existió modulación de resistencia asociada a bombas de eflujo, lo cual se debe posiblemente a que las </w:t>
      </w:r>
      <w:r w:rsidRPr="008F28DD">
        <w:rPr>
          <w:rFonts w:ascii="Times New Roman" w:hAnsi="Times New Roman"/>
          <w:sz w:val="24"/>
          <w:szCs w:val="24"/>
        </w:rPr>
        <w:t xml:space="preserve">bombas de eflujo de </w:t>
      </w:r>
      <w:r w:rsidRPr="00AB75D2">
        <w:rPr>
          <w:rFonts w:ascii="Times New Roman" w:hAnsi="Times New Roman"/>
          <w:i/>
          <w:iCs/>
          <w:sz w:val="24"/>
          <w:szCs w:val="24"/>
        </w:rPr>
        <w:t>B. subtillis</w:t>
      </w:r>
      <w:r w:rsidRPr="008F28DD">
        <w:rPr>
          <w:rFonts w:ascii="Times New Roman" w:hAnsi="Times New Roman"/>
          <w:sz w:val="24"/>
          <w:szCs w:val="24"/>
        </w:rPr>
        <w:t xml:space="preserve"> y </w:t>
      </w:r>
      <w:r w:rsidRPr="00AB75D2">
        <w:rPr>
          <w:rFonts w:ascii="Times New Roman" w:hAnsi="Times New Roman"/>
          <w:i/>
          <w:iCs/>
          <w:sz w:val="24"/>
          <w:szCs w:val="24"/>
        </w:rPr>
        <w:t>P. aeruginosa</w:t>
      </w:r>
      <w:r w:rsidRPr="008F28DD">
        <w:rPr>
          <w:rFonts w:ascii="Times New Roman" w:hAnsi="Times New Roman"/>
          <w:sz w:val="24"/>
          <w:szCs w:val="24"/>
        </w:rPr>
        <w:t xml:space="preserve"> pertenecen a familias diferentes de acuerdo a su estructura y funciones, por lo que, si hubo efecto en el primero de los modelos de estudio, no necesariamente podría ocurrir en el segundo, además que los otros mecanismos de resistencia a antibióticos de </w:t>
      </w:r>
      <w:r w:rsidRPr="00AB75D2">
        <w:rPr>
          <w:rFonts w:ascii="Times New Roman" w:hAnsi="Times New Roman"/>
          <w:i/>
          <w:iCs/>
          <w:sz w:val="24"/>
          <w:szCs w:val="24"/>
        </w:rPr>
        <w:t>P. aeruginosa</w:t>
      </w:r>
      <w:r w:rsidRPr="008F28DD">
        <w:rPr>
          <w:rFonts w:ascii="Times New Roman" w:hAnsi="Times New Roman"/>
          <w:sz w:val="24"/>
          <w:szCs w:val="24"/>
        </w:rPr>
        <w:t xml:space="preserve"> distintos a bombas de eflujo, no permiten observar si existe un efecto de reversión en la resistencia con el uso de estos dos derivados de maleimidas [</w:t>
      </w:r>
      <w:r w:rsidR="00AB75D2">
        <w:rPr>
          <w:rFonts w:ascii="Times New Roman" w:hAnsi="Times New Roman"/>
          <w:sz w:val="24"/>
          <w:szCs w:val="24"/>
        </w:rPr>
        <w:t>Lambert, 2002; Sun y col.., 2014</w:t>
      </w:r>
      <w:r w:rsidRPr="008F28DD">
        <w:rPr>
          <w:rFonts w:ascii="Times New Roman" w:hAnsi="Times New Roman"/>
          <w:sz w:val="24"/>
          <w:szCs w:val="24"/>
        </w:rPr>
        <w:t>].</w:t>
      </w:r>
    </w:p>
    <w:p w14:paraId="24734349" w14:textId="0F84AFDE" w:rsidR="006541C1" w:rsidRPr="00A32432" w:rsidRDefault="00AB75D2" w:rsidP="006541C1">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themeColor="text1"/>
          <w:sz w:val="24"/>
          <w:szCs w:val="24"/>
          <w:lang w:val="es-ES" w:eastAsia="es-ES"/>
        </w:rPr>
        <w:t>4</w:t>
      </w:r>
      <w:r w:rsidR="006541C1" w:rsidRPr="7CC131D3">
        <w:rPr>
          <w:rFonts w:ascii="Times New Roman" w:eastAsia="Times New Roman" w:hAnsi="Times New Roman" w:cs="Times New Roman"/>
          <w:b/>
          <w:bCs/>
          <w:color w:val="000000" w:themeColor="text1"/>
          <w:sz w:val="24"/>
          <w:szCs w:val="24"/>
          <w:lang w:val="es-ES" w:eastAsia="es-ES"/>
        </w:rPr>
        <w:t>. Conclusiones</w:t>
      </w:r>
    </w:p>
    <w:p w14:paraId="2E78E1CF" w14:textId="760D564B" w:rsidR="00AB75D2" w:rsidRDefault="00AB75D2" w:rsidP="00AB75D2">
      <w:pPr>
        <w:spacing w:line="360" w:lineRule="auto"/>
        <w:jc w:val="both"/>
        <w:rPr>
          <w:rFonts w:ascii="Times New Roman" w:hAnsi="Times New Roman"/>
          <w:sz w:val="24"/>
          <w:szCs w:val="24"/>
        </w:rPr>
      </w:pPr>
      <w:r w:rsidRPr="00AB75D2">
        <w:rPr>
          <w:rFonts w:ascii="Times New Roman" w:hAnsi="Times New Roman"/>
          <w:sz w:val="24"/>
          <w:szCs w:val="24"/>
        </w:rPr>
        <w:t xml:space="preserve">Los datos obtenidos de CMI para los antibióticos evaluados confirman la presencia de bombas de eflujo tanto inducibles como constitutivas, presentes en los aislados clínicos evaluados de </w:t>
      </w:r>
      <w:r w:rsidRPr="00773805">
        <w:rPr>
          <w:rFonts w:ascii="Times New Roman" w:hAnsi="Times New Roman"/>
          <w:b/>
          <w:bCs/>
          <w:i/>
          <w:iCs/>
          <w:sz w:val="24"/>
          <w:szCs w:val="24"/>
        </w:rPr>
        <w:t>P. aeruginosa</w:t>
      </w:r>
      <w:r w:rsidRPr="00AB75D2">
        <w:rPr>
          <w:rFonts w:ascii="Times New Roman" w:hAnsi="Times New Roman"/>
          <w:sz w:val="24"/>
          <w:szCs w:val="24"/>
        </w:rPr>
        <w:t>. Ante la ausencia de efecto modulador de las moléculas M10 y M11, no permite usarlas como inhibidores de bombas de eflujo en esta bacteria multiresistente.</w:t>
      </w:r>
    </w:p>
    <w:p w14:paraId="6E7B887B" w14:textId="02F76B86" w:rsidR="00AB75D2" w:rsidRPr="00AB75D2" w:rsidRDefault="00AB75D2" w:rsidP="00AB75D2">
      <w:pPr>
        <w:spacing w:line="360" w:lineRule="auto"/>
        <w:jc w:val="both"/>
        <w:rPr>
          <w:rFonts w:ascii="Times New Roman" w:hAnsi="Times New Roman"/>
          <w:sz w:val="24"/>
          <w:szCs w:val="24"/>
        </w:rPr>
      </w:pPr>
      <w:r>
        <w:rPr>
          <w:rFonts w:ascii="Times New Roman" w:eastAsia="Times New Roman" w:hAnsi="Times New Roman" w:cs="Times New Roman"/>
          <w:b/>
          <w:bCs/>
          <w:color w:val="000000" w:themeColor="text1"/>
          <w:sz w:val="24"/>
          <w:szCs w:val="24"/>
          <w:lang w:val="es-ES" w:eastAsia="es-ES"/>
        </w:rPr>
        <w:t>5</w:t>
      </w:r>
      <w:r w:rsidRPr="7CC131D3">
        <w:rPr>
          <w:rFonts w:ascii="Times New Roman" w:eastAsia="Times New Roman" w:hAnsi="Times New Roman" w:cs="Times New Roman"/>
          <w:b/>
          <w:bCs/>
          <w:color w:val="000000" w:themeColor="text1"/>
          <w:sz w:val="24"/>
          <w:szCs w:val="24"/>
          <w:lang w:val="es-ES" w:eastAsia="es-ES"/>
        </w:rPr>
        <w:t xml:space="preserve">. </w:t>
      </w:r>
      <w:r>
        <w:rPr>
          <w:rFonts w:ascii="Times New Roman" w:eastAsia="Times New Roman" w:hAnsi="Times New Roman" w:cs="Times New Roman"/>
          <w:b/>
          <w:bCs/>
          <w:color w:val="000000" w:themeColor="text1"/>
          <w:sz w:val="24"/>
          <w:szCs w:val="24"/>
          <w:lang w:val="es-ES" w:eastAsia="es-ES"/>
        </w:rPr>
        <w:t>Agradecimientos</w:t>
      </w:r>
    </w:p>
    <w:p w14:paraId="74E8FB5E" w14:textId="68E4B17E" w:rsidR="006541C1" w:rsidRDefault="00AB75D2" w:rsidP="00AB75D2">
      <w:pPr>
        <w:spacing w:line="360" w:lineRule="auto"/>
        <w:jc w:val="both"/>
        <w:rPr>
          <w:rFonts w:ascii="Times New Roman" w:hAnsi="Times New Roman"/>
          <w:sz w:val="24"/>
          <w:szCs w:val="24"/>
        </w:rPr>
      </w:pPr>
      <w:r w:rsidRPr="00AB75D2">
        <w:rPr>
          <w:rFonts w:ascii="Times New Roman" w:hAnsi="Times New Roman"/>
          <w:sz w:val="24"/>
          <w:szCs w:val="24"/>
        </w:rPr>
        <w:t>A la Dirección de Apoyo a la Investigación y Posgrado por la beca recibida para la realización de este trabajo.</w:t>
      </w:r>
    </w:p>
    <w:p w14:paraId="08B0F39F" w14:textId="287A295C" w:rsidR="006541C1"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sz w:val="24"/>
          <w:szCs w:val="24"/>
          <w:lang w:val="es-ES" w:eastAsia="es-ES"/>
        </w:rPr>
        <w:lastRenderedPageBreak/>
        <w:t>Referencias bibliográficas</w:t>
      </w:r>
    </w:p>
    <w:p w14:paraId="0AC26A00"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FD1C77">
        <w:rPr>
          <w:rFonts w:ascii="Times New Roman" w:eastAsia="Times New Roman" w:hAnsi="Times New Roman" w:cs="Times New Roman" w:hint="eastAsia"/>
          <w:color w:val="000000"/>
          <w:sz w:val="24"/>
          <w:szCs w:val="24"/>
          <w:lang w:val="en-US" w:eastAsia="es-ES"/>
        </w:rPr>
        <w:t xml:space="preserve">Aeschlimann, J. R. (2003). The Role of Multidrug Efflux Pumps in the Antibiotic Resistance of Pseudomonas aeruginosa and Other Gram‐Negative Bacteria: Insights from the Society of Infectious Diseases Pharmacists. </w:t>
      </w:r>
      <w:r w:rsidRPr="00A42EDF">
        <w:rPr>
          <w:rFonts w:ascii="Times New Roman" w:eastAsia="Times New Roman" w:hAnsi="Times New Roman" w:cs="Times New Roman" w:hint="eastAsia"/>
          <w:color w:val="000000"/>
          <w:sz w:val="24"/>
          <w:szCs w:val="24"/>
          <w:lang w:val="es-ES" w:eastAsia="es-ES"/>
        </w:rPr>
        <w:t>Pharmacotherapy: The Journal of Human P</w:t>
      </w:r>
      <w:r w:rsidRPr="00A42EDF">
        <w:rPr>
          <w:rFonts w:ascii="Times New Roman" w:eastAsia="Times New Roman" w:hAnsi="Times New Roman" w:cs="Times New Roman"/>
          <w:color w:val="000000"/>
          <w:sz w:val="24"/>
          <w:szCs w:val="24"/>
          <w:lang w:val="es-ES" w:eastAsia="es-ES"/>
        </w:rPr>
        <w:t>harmacology and Drug Therapy, 23(7), 916-924.</w:t>
      </w:r>
    </w:p>
    <w:p w14:paraId="5F6945E2"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A42EDF">
        <w:rPr>
          <w:rFonts w:ascii="Times New Roman" w:eastAsia="Times New Roman" w:hAnsi="Times New Roman" w:cs="Times New Roman"/>
          <w:color w:val="000000"/>
          <w:sz w:val="24"/>
          <w:szCs w:val="24"/>
          <w:lang w:val="es-ES" w:eastAsia="es-ES"/>
        </w:rPr>
        <w:t xml:space="preserve">Aguilar, P., Zúñiga, G., Rodríguez, B. A., Cervantes, A. L. O., Arroyo, A. E. G., Moreno, S. &amp; Rojas, V. L. J. (2017). </w:t>
      </w:r>
      <w:r w:rsidRPr="00FD1C77">
        <w:rPr>
          <w:rFonts w:ascii="Times New Roman" w:eastAsia="Times New Roman" w:hAnsi="Times New Roman" w:cs="Times New Roman"/>
          <w:color w:val="000000"/>
          <w:sz w:val="24"/>
          <w:szCs w:val="24"/>
          <w:lang w:val="en-US" w:eastAsia="es-ES"/>
        </w:rPr>
        <w:t xml:space="preserve">Identification of extensive drug resistant Pseudomonas aeruginosa strains: New clone ST1725 and high-risk clone ST233. </w:t>
      </w:r>
      <w:r w:rsidRPr="00A42EDF">
        <w:rPr>
          <w:rFonts w:ascii="Times New Roman" w:eastAsia="Times New Roman" w:hAnsi="Times New Roman" w:cs="Times New Roman"/>
          <w:color w:val="000000"/>
          <w:sz w:val="24"/>
          <w:szCs w:val="24"/>
          <w:lang w:val="es-ES" w:eastAsia="es-ES"/>
        </w:rPr>
        <w:t>PloS one, 12(3), e0172882.</w:t>
      </w:r>
    </w:p>
    <w:p w14:paraId="64AADEAB"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A42EDF">
        <w:rPr>
          <w:rFonts w:ascii="Times New Roman" w:eastAsia="Times New Roman" w:hAnsi="Times New Roman" w:cs="Times New Roman"/>
          <w:color w:val="000000"/>
          <w:sz w:val="24"/>
          <w:szCs w:val="24"/>
          <w:lang w:val="es-ES" w:eastAsia="es-ES"/>
        </w:rPr>
        <w:t>Aguilar-Granados, A. (2017) Obtención de un modelo bacteriano de resistencia a múltiples fármacos en Bacillus subtilis para la evaluación de derivados de maleimidas con potencial efecto reversor de la resistencia. Tesis de Licenciatura.</w:t>
      </w:r>
    </w:p>
    <w:p w14:paraId="0A2D31B9"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FD1C77">
        <w:rPr>
          <w:rFonts w:ascii="Times New Roman" w:eastAsia="Times New Roman" w:hAnsi="Times New Roman" w:cs="Times New Roman"/>
          <w:color w:val="000000"/>
          <w:sz w:val="24"/>
          <w:szCs w:val="24"/>
          <w:lang w:val="en-US" w:eastAsia="es-ES"/>
        </w:rPr>
        <w:t xml:space="preserve">Askoura, M., Mottawea, W., Abujamel, T &amp; Taher, Ibrahin. (2011). Efflux pump inhibitors (EPIs) as new antimicrobial agents against Pseudomonas aeruginosa. </w:t>
      </w:r>
      <w:r w:rsidRPr="00A42EDF">
        <w:rPr>
          <w:rFonts w:ascii="Times New Roman" w:eastAsia="Times New Roman" w:hAnsi="Times New Roman" w:cs="Times New Roman"/>
          <w:color w:val="000000"/>
          <w:sz w:val="24"/>
          <w:szCs w:val="24"/>
          <w:lang w:val="es-ES" w:eastAsia="es-ES"/>
        </w:rPr>
        <w:t>Libyan Journal of Medicine, 6(5870), pp. 1993-2820. doi: 10.3402/ljm.v6i0.5870.</w:t>
      </w:r>
    </w:p>
    <w:p w14:paraId="02D93365" w14:textId="77777777" w:rsidR="00AB75D2" w:rsidRPr="00FD1C77"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n-US" w:eastAsia="es-ES"/>
        </w:rPr>
      </w:pPr>
      <w:r w:rsidRPr="00FD1C77">
        <w:rPr>
          <w:rFonts w:ascii="Times New Roman" w:eastAsia="Times New Roman" w:hAnsi="Times New Roman" w:cs="Times New Roman"/>
          <w:color w:val="000000"/>
          <w:sz w:val="24"/>
          <w:szCs w:val="24"/>
          <w:lang w:val="en-US" w:eastAsia="es-ES"/>
        </w:rPr>
        <w:t>Edition, A. S. N. (2012). CLSI document M07-A9. Wayne, PA: Clinical and Laboratory Standards Institute.</w:t>
      </w:r>
    </w:p>
    <w:p w14:paraId="61954B1C" w14:textId="77777777" w:rsidR="00AB75D2" w:rsidRPr="00FD1C77"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n-US" w:eastAsia="es-ES"/>
        </w:rPr>
      </w:pPr>
      <w:r w:rsidRPr="00FD1C77">
        <w:rPr>
          <w:rFonts w:ascii="Times New Roman" w:eastAsia="Times New Roman" w:hAnsi="Times New Roman" w:cs="Times New Roman"/>
          <w:color w:val="000000"/>
          <w:sz w:val="24"/>
          <w:szCs w:val="24"/>
          <w:lang w:val="en-US" w:eastAsia="es-ES"/>
        </w:rPr>
        <w:t>Khan, H. A., Baig, F. K. &amp; Mehboob R. (2017). Nosocomial infections: Epidemiology, prevention, control and surveillance. Asian Pacific Journal of Tropical Biomedicine, 7(5), pp. 478-482. doi: 10.1016/j.apjtb.2017.01.019</w:t>
      </w:r>
    </w:p>
    <w:p w14:paraId="376F4B77"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FD1C77">
        <w:rPr>
          <w:rFonts w:ascii="Times New Roman" w:eastAsia="Times New Roman" w:hAnsi="Times New Roman" w:cs="Times New Roman"/>
          <w:color w:val="000000"/>
          <w:sz w:val="24"/>
          <w:szCs w:val="24"/>
          <w:lang w:val="en-US" w:eastAsia="es-ES"/>
        </w:rPr>
        <w:t xml:space="preserve">Lambert, P. A. (2002). Mechanism of antibiotic resistance in Pseudomonas aeruginosa. </w:t>
      </w:r>
      <w:r w:rsidRPr="00A42EDF">
        <w:rPr>
          <w:rFonts w:ascii="Times New Roman" w:eastAsia="Times New Roman" w:hAnsi="Times New Roman" w:cs="Times New Roman"/>
          <w:color w:val="000000"/>
          <w:sz w:val="24"/>
          <w:szCs w:val="24"/>
          <w:lang w:val="es-ES" w:eastAsia="es-ES"/>
        </w:rPr>
        <w:t>Journal of the Royal Society of Medicine, 95(41), pp. 22-26.</w:t>
      </w:r>
    </w:p>
    <w:p w14:paraId="43AED9FD"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FD1C77">
        <w:rPr>
          <w:rFonts w:ascii="Times New Roman" w:eastAsia="Times New Roman" w:hAnsi="Times New Roman" w:cs="Times New Roman"/>
          <w:color w:val="000000"/>
          <w:sz w:val="24"/>
          <w:szCs w:val="24"/>
          <w:lang w:val="en-US" w:eastAsia="es-ES"/>
        </w:rPr>
        <w:t xml:space="preserve">Li, X. Z., Plésiat, P., &amp; Nikaido, H. (2015). The challenge of efflux-mediated antibiotic resistance in Gram-negative bacteria. </w:t>
      </w:r>
      <w:r w:rsidRPr="00A42EDF">
        <w:rPr>
          <w:rFonts w:ascii="Times New Roman" w:eastAsia="Times New Roman" w:hAnsi="Times New Roman" w:cs="Times New Roman"/>
          <w:color w:val="000000"/>
          <w:sz w:val="24"/>
          <w:szCs w:val="24"/>
          <w:lang w:val="es-ES" w:eastAsia="es-ES"/>
        </w:rPr>
        <w:t xml:space="preserve">Clinical </w:t>
      </w:r>
      <w:r w:rsidRPr="00A42EDF">
        <w:rPr>
          <w:rFonts w:ascii="Times New Roman" w:eastAsia="Times New Roman" w:hAnsi="Times New Roman" w:cs="Times New Roman"/>
          <w:color w:val="000000"/>
          <w:sz w:val="24"/>
          <w:szCs w:val="24"/>
          <w:lang w:val="es-ES" w:eastAsia="es-ES"/>
        </w:rPr>
        <w:lastRenderedPageBreak/>
        <w:t>microbiology reviews, 28(2), 337-418.</w:t>
      </w:r>
    </w:p>
    <w:p w14:paraId="25ED9CDF"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A42EDF">
        <w:rPr>
          <w:rFonts w:ascii="Times New Roman" w:eastAsia="Times New Roman" w:hAnsi="Times New Roman" w:cs="Times New Roman"/>
          <w:color w:val="000000"/>
          <w:sz w:val="24"/>
          <w:szCs w:val="24"/>
          <w:lang w:val="es-ES" w:eastAsia="es-ES"/>
        </w:rPr>
        <w:t>López, C. T. C., Álvarez, M. A. D., Morales, M. A. R., Morales, J. R. Z., &amp; Macías, C. L. M. (2017). Evaluación y caracterización de cepas bacterianas con resistencia a múltiples drogas provenientes de aislados clínicos en ambientes hospitalarios. Jóvenes en la ciencia, 3(2), 198-202.</w:t>
      </w:r>
    </w:p>
    <w:p w14:paraId="27A7E850"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A42EDF">
        <w:rPr>
          <w:rFonts w:ascii="Times New Roman" w:eastAsia="Times New Roman" w:hAnsi="Times New Roman" w:cs="Times New Roman"/>
          <w:color w:val="000000"/>
          <w:sz w:val="24"/>
          <w:szCs w:val="24"/>
          <w:lang w:val="es-ES" w:eastAsia="es-ES"/>
        </w:rPr>
        <w:t xml:space="preserve">Magiorakos, A. P. et al. </w:t>
      </w:r>
      <w:r w:rsidRPr="00FD1C77">
        <w:rPr>
          <w:rFonts w:ascii="Times New Roman" w:eastAsia="Times New Roman" w:hAnsi="Times New Roman" w:cs="Times New Roman"/>
          <w:color w:val="000000"/>
          <w:sz w:val="24"/>
          <w:szCs w:val="24"/>
          <w:lang w:val="en-US" w:eastAsia="es-ES"/>
        </w:rPr>
        <w:t xml:space="preserve">(2012). Multidrug-resistant, extensively drug-resistant and pandrug-resistant bacteria: an international expert proposal for interim standard definitions for acquired resistance. </w:t>
      </w:r>
      <w:r w:rsidRPr="00A42EDF">
        <w:rPr>
          <w:rFonts w:ascii="Times New Roman" w:eastAsia="Times New Roman" w:hAnsi="Times New Roman" w:cs="Times New Roman"/>
          <w:color w:val="000000"/>
          <w:sz w:val="24"/>
          <w:szCs w:val="24"/>
          <w:lang w:val="es-ES" w:eastAsia="es-ES"/>
        </w:rPr>
        <w:t>Clinical Microbiology and Infection, 18(3), pp. 268-281. doi: 10.1111/j.1469-0691.2011.03570.x.</w:t>
      </w:r>
    </w:p>
    <w:p w14:paraId="6F87FB9C" w14:textId="77777777" w:rsidR="00AB75D2" w:rsidRPr="00FD1C77"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n-US" w:eastAsia="es-ES"/>
        </w:rPr>
      </w:pPr>
      <w:r w:rsidRPr="00A42EDF">
        <w:rPr>
          <w:rFonts w:ascii="Times New Roman" w:eastAsia="Times New Roman" w:hAnsi="Times New Roman" w:cs="Times New Roman"/>
          <w:color w:val="000000"/>
          <w:sz w:val="24"/>
          <w:szCs w:val="24"/>
          <w:lang w:val="es-ES" w:eastAsia="es-ES"/>
        </w:rPr>
        <w:t xml:space="preserve">Morita, Y., Tomida, J., &amp; Kawamura, Y. (2013). </w:t>
      </w:r>
      <w:r w:rsidRPr="00FD1C77">
        <w:rPr>
          <w:rFonts w:ascii="Times New Roman" w:eastAsia="Times New Roman" w:hAnsi="Times New Roman" w:cs="Times New Roman"/>
          <w:color w:val="000000"/>
          <w:sz w:val="24"/>
          <w:szCs w:val="24"/>
          <w:lang w:val="en-US" w:eastAsia="es-ES"/>
        </w:rPr>
        <w:t>Responses of Pseudomonas aeruginosa to antimicrobials. Frontiers in Microbiology, 4, 422. http://doi.org/10.3389/fmicb.2013.00422</w:t>
      </w:r>
    </w:p>
    <w:p w14:paraId="4ECC7280"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FD1C77">
        <w:rPr>
          <w:rFonts w:ascii="Times New Roman" w:eastAsia="Times New Roman" w:hAnsi="Times New Roman" w:cs="Times New Roman"/>
          <w:color w:val="000000"/>
          <w:sz w:val="24"/>
          <w:szCs w:val="24"/>
          <w:lang w:val="en-US" w:eastAsia="es-ES"/>
        </w:rPr>
        <w:t xml:space="preserve">Navidinia, M. (2016). The clinical importance of emerging ESKAPE </w:t>
      </w:r>
      <w:r w:rsidRPr="00FD1C77">
        <w:rPr>
          <w:rFonts w:ascii="Times New Roman" w:eastAsia="Times New Roman" w:hAnsi="Times New Roman" w:cs="Times New Roman"/>
          <w:color w:val="000000"/>
          <w:sz w:val="24"/>
          <w:szCs w:val="24"/>
          <w:lang w:val="en-US" w:eastAsia="es-ES"/>
        </w:rPr>
        <w:t xml:space="preserve">pathogens in nosocomial infections. </w:t>
      </w:r>
      <w:r w:rsidRPr="00A42EDF">
        <w:rPr>
          <w:rFonts w:ascii="Times New Roman" w:eastAsia="Times New Roman" w:hAnsi="Times New Roman" w:cs="Times New Roman"/>
          <w:color w:val="000000"/>
          <w:sz w:val="24"/>
          <w:szCs w:val="24"/>
          <w:lang w:val="es-ES" w:eastAsia="es-ES"/>
        </w:rPr>
        <w:t>Jornal of Paramedical Sciences, 7(3), pp. 2008-4978. doi: 10.22037/jps.v7i3.12584.</w:t>
      </w:r>
    </w:p>
    <w:p w14:paraId="145188D2"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FD1C77">
        <w:rPr>
          <w:rFonts w:ascii="Times New Roman" w:eastAsia="Times New Roman" w:hAnsi="Times New Roman" w:cs="Times New Roman"/>
          <w:color w:val="000000"/>
          <w:sz w:val="24"/>
          <w:szCs w:val="24"/>
          <w:lang w:val="en-US" w:eastAsia="es-ES"/>
        </w:rPr>
        <w:t xml:space="preserve">Patel, J., Cockerill, F., &amp; Bradford, P. M100-S25. Performance Standards for Antimicrobial Susceptibility Testing; Twenty-Fifth Informational Supplement. </w:t>
      </w:r>
      <w:r w:rsidRPr="00A42EDF">
        <w:rPr>
          <w:rFonts w:ascii="Times New Roman" w:eastAsia="Times New Roman" w:hAnsi="Times New Roman" w:cs="Times New Roman"/>
          <w:color w:val="000000"/>
          <w:sz w:val="24"/>
          <w:szCs w:val="24"/>
          <w:lang w:val="es-ES" w:eastAsia="es-ES"/>
        </w:rPr>
        <w:t>Wayne, PA: Clinical and Laboratory Standards Institute; 2015; 35 (3): 1-16.</w:t>
      </w:r>
    </w:p>
    <w:p w14:paraId="16FA9E7B"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A42EDF">
        <w:rPr>
          <w:rFonts w:ascii="Times New Roman" w:eastAsia="Times New Roman" w:hAnsi="Times New Roman" w:cs="Times New Roman"/>
          <w:color w:val="000000"/>
          <w:sz w:val="24"/>
          <w:szCs w:val="24"/>
          <w:lang w:val="es-ES" w:eastAsia="es-ES"/>
        </w:rPr>
        <w:t>Reyes-Gualito, A. (2018) Evaluación de la actividad antimicrobiana y/o moduladora de la resistencia a antimicrobianos de cinco nuevos derivados de bisarilmaleimida en aislados clínicos de Acinetobacter baumannii, Stenotrophomonas maltophilia y Enterococcus sp. Tesis de Licenciatura.</w:t>
      </w:r>
    </w:p>
    <w:p w14:paraId="279EA562"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A42EDF">
        <w:rPr>
          <w:rFonts w:ascii="Times New Roman" w:eastAsia="Times New Roman" w:hAnsi="Times New Roman" w:cs="Times New Roman"/>
          <w:color w:val="000000"/>
          <w:sz w:val="24"/>
          <w:szCs w:val="24"/>
          <w:lang w:val="es-ES" w:eastAsia="es-ES"/>
        </w:rPr>
        <w:t>Sun, J., Deng, Z., &amp; Yan, A. (2014). Bacterial multidrug efflux pumps: mechanisms, physiology and pharmacological exploitations. Biochemical and biophysical research communications, 453(2), 254-267</w:t>
      </w:r>
    </w:p>
    <w:p w14:paraId="0C3B6C22" w14:textId="78E4061A" w:rsidR="000C3642"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r w:rsidRPr="00A42EDF">
        <w:rPr>
          <w:rFonts w:ascii="Times New Roman" w:eastAsia="Times New Roman" w:hAnsi="Times New Roman" w:cs="Times New Roman"/>
          <w:color w:val="000000"/>
          <w:sz w:val="24"/>
          <w:szCs w:val="24"/>
          <w:lang w:val="es-ES" w:eastAsia="es-ES"/>
        </w:rPr>
        <w:lastRenderedPageBreak/>
        <w:t xml:space="preserve">Yang, X., Xing, B., Liang, C., Ye, Z., &amp; Zhang, Y. (2015). Prevalence and fluoroquinolone resistance of Pseudomonas aeruginosa in a </w:t>
      </w:r>
      <w:r w:rsidRPr="00A42EDF">
        <w:rPr>
          <w:rFonts w:ascii="Times New Roman" w:eastAsia="Times New Roman" w:hAnsi="Times New Roman" w:cs="Times New Roman"/>
          <w:color w:val="000000"/>
          <w:sz w:val="24"/>
          <w:szCs w:val="24"/>
          <w:lang w:val="es-ES" w:eastAsia="es-ES"/>
        </w:rPr>
        <w:t>hospital of South China. International Journal of Clinical and Experimental Medicine, 8(1), 1386–1390.</w:t>
      </w:r>
    </w:p>
    <w:p w14:paraId="2F3F1EBE" w14:textId="77777777" w:rsidR="000C3642" w:rsidRDefault="000C3642">
      <w:pPr>
        <w:rPr>
          <w:rFonts w:ascii="Times New Roman" w:eastAsia="Times New Roman" w:hAnsi="Times New Roman" w:cs="Times New Roman"/>
          <w:color w:val="000000"/>
          <w:sz w:val="24"/>
          <w:szCs w:val="24"/>
          <w:lang w:val="es-ES" w:eastAsia="es-ES"/>
        </w:rPr>
        <w:sectPr w:rsidR="000C3642" w:rsidSect="000C3642">
          <w:type w:val="continuous"/>
          <w:pgSz w:w="12240" w:h="15840"/>
          <w:pgMar w:top="1417" w:right="1701" w:bottom="1417" w:left="1701" w:header="708" w:footer="708" w:gutter="0"/>
          <w:cols w:num="2" w:space="708"/>
          <w:docGrid w:linePitch="360"/>
        </w:sectPr>
      </w:pPr>
    </w:p>
    <w:p w14:paraId="5ECB1059" w14:textId="77777777" w:rsidR="000C3642" w:rsidRDefault="000C3642">
      <w:pP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br w:type="page"/>
      </w:r>
    </w:p>
    <w:p w14:paraId="718E3DC1" w14:textId="77777777" w:rsidR="00AB75D2" w:rsidRPr="00A42EDF" w:rsidRDefault="00AB75D2" w:rsidP="00AB75D2">
      <w:pPr>
        <w:pStyle w:val="Prrafodelista"/>
        <w:numPr>
          <w:ilvl w:val="0"/>
          <w:numId w:val="1"/>
        </w:numPr>
        <w:spacing w:line="360" w:lineRule="auto"/>
        <w:jc w:val="both"/>
        <w:rPr>
          <w:rFonts w:ascii="Times New Roman" w:eastAsia="Times New Roman" w:hAnsi="Times New Roman" w:cs="Times New Roman"/>
          <w:color w:val="000000"/>
          <w:sz w:val="24"/>
          <w:szCs w:val="24"/>
          <w:lang w:val="es-ES" w:eastAsia="es-ES"/>
        </w:rPr>
      </w:pPr>
    </w:p>
    <w:p w14:paraId="3950BDDA" w14:textId="2C8F5047" w:rsidR="006541C1" w:rsidRPr="000C3642" w:rsidRDefault="000C3642" w:rsidP="006541C1">
      <w:pPr>
        <w:spacing w:line="360" w:lineRule="auto"/>
        <w:jc w:val="both"/>
        <w:rPr>
          <w:rFonts w:ascii="Times New Roman" w:hAnsi="Times New Roman"/>
          <w:b/>
          <w:bCs/>
          <w:sz w:val="24"/>
          <w:szCs w:val="24"/>
        </w:rPr>
      </w:pPr>
      <w:r w:rsidRPr="000C3642">
        <w:rPr>
          <w:rFonts w:ascii="Times New Roman" w:hAnsi="Times New Roman"/>
          <w:b/>
          <w:bCs/>
          <w:sz w:val="24"/>
          <w:szCs w:val="24"/>
        </w:rPr>
        <w:t>FIGURAS Y TABLAS</w:t>
      </w:r>
    </w:p>
    <w:p w14:paraId="64C98B76" w14:textId="77777777" w:rsidR="000C3642" w:rsidRPr="00AB75D2" w:rsidRDefault="000C3642" w:rsidP="000C3642">
      <w:pPr>
        <w:pStyle w:val="PIEDEFIGURA"/>
        <w:jc w:val="center"/>
        <w:rPr>
          <w:rFonts w:ascii="Times New Roman" w:eastAsiaTheme="minorEastAsia" w:hAnsi="Times New Roman" w:cstheme="minorBidi"/>
          <w:b w:val="0"/>
          <w:color w:val="auto"/>
          <w:sz w:val="24"/>
          <w:szCs w:val="24"/>
          <w:lang w:eastAsia="ja-JP"/>
        </w:rPr>
      </w:pPr>
      <w:r w:rsidRPr="00773805">
        <w:rPr>
          <w:rFonts w:ascii="Times New Roman" w:eastAsiaTheme="minorEastAsia" w:hAnsi="Times New Roman" w:cstheme="minorBidi"/>
          <w:bCs/>
          <w:color w:val="auto"/>
          <w:sz w:val="24"/>
          <w:szCs w:val="24"/>
          <w:lang w:eastAsia="ja-JP"/>
        </w:rPr>
        <w:t>Tabla 1</w:t>
      </w:r>
      <w:r w:rsidRPr="00AB75D2">
        <w:rPr>
          <w:rFonts w:ascii="Times New Roman" w:eastAsiaTheme="minorEastAsia" w:hAnsi="Times New Roman" w:cstheme="minorBidi"/>
          <w:b w:val="0"/>
          <w:color w:val="auto"/>
          <w:sz w:val="24"/>
          <w:szCs w:val="24"/>
          <w:lang w:eastAsia="ja-JP"/>
        </w:rPr>
        <w:t xml:space="preserve">. Fenotipo de resistencia para los aislados clínicos de </w:t>
      </w:r>
      <w:r w:rsidRPr="00773805">
        <w:rPr>
          <w:rFonts w:ascii="Times New Roman" w:eastAsiaTheme="minorEastAsia" w:hAnsi="Times New Roman" w:cstheme="minorBidi"/>
          <w:b w:val="0"/>
          <w:i/>
          <w:iCs/>
          <w:color w:val="auto"/>
          <w:sz w:val="24"/>
          <w:szCs w:val="24"/>
          <w:lang w:eastAsia="ja-JP"/>
        </w:rPr>
        <w:t>P. aeruginosa.</w:t>
      </w:r>
    </w:p>
    <w:p w14:paraId="22F80C0E" w14:textId="77777777" w:rsidR="000C3642" w:rsidRPr="00AB75D2" w:rsidRDefault="000C3642" w:rsidP="000C3642">
      <w:pPr>
        <w:pStyle w:val="PIEDEFIGURA"/>
        <w:rPr>
          <w:rFonts w:ascii="Times New Roman" w:eastAsiaTheme="minorEastAsia" w:hAnsi="Times New Roman" w:cstheme="minorBidi"/>
          <w:b w:val="0"/>
          <w:color w:val="auto"/>
          <w:sz w:val="24"/>
          <w:szCs w:val="24"/>
          <w:lang w:eastAsia="ja-JP"/>
        </w:rPr>
      </w:pPr>
      <w:r w:rsidRPr="00AB75D2">
        <w:rPr>
          <w:rFonts w:ascii="Times New Roman" w:eastAsiaTheme="minorEastAsia" w:hAnsi="Times New Roman" w:cstheme="minorBidi"/>
          <w:b w:val="0"/>
          <w:noProof/>
          <w:color w:val="auto"/>
          <w:sz w:val="24"/>
          <w:szCs w:val="24"/>
          <w:lang w:eastAsia="ja-JP"/>
        </w:rPr>
        <w:drawing>
          <wp:inline distT="0" distB="0" distL="0" distR="0" wp14:anchorId="20F334ED" wp14:editId="2D4238A6">
            <wp:extent cx="5619750" cy="233107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926" cy="2346907"/>
                    </a:xfrm>
                    <a:prstGeom prst="rect">
                      <a:avLst/>
                    </a:prstGeom>
                    <a:noFill/>
                    <a:ln>
                      <a:noFill/>
                    </a:ln>
                  </pic:spPr>
                </pic:pic>
              </a:graphicData>
            </a:graphic>
          </wp:inline>
        </w:drawing>
      </w:r>
      <w:r w:rsidRPr="00AB75D2">
        <w:rPr>
          <w:rFonts w:ascii="Times New Roman" w:eastAsiaTheme="minorEastAsia" w:hAnsi="Times New Roman" w:cstheme="minorBidi"/>
          <w:b w:val="0"/>
          <w:color w:val="auto"/>
          <w:sz w:val="24"/>
          <w:szCs w:val="24"/>
          <w:lang w:eastAsia="ja-JP"/>
        </w:rPr>
        <w:t>NA: No multiresistente, MDR: Multi- Drug Resistance, XDR: Extreme-Drug Resistance, PDR: Pan-Drug Resistance, NS: No susceptible, S: Susceptible, ND: No determinado.</w:t>
      </w:r>
    </w:p>
    <w:p w14:paraId="11076C11" w14:textId="3DC87FB5" w:rsidR="000C3642" w:rsidRDefault="000C3642" w:rsidP="006541C1">
      <w:pPr>
        <w:spacing w:line="360" w:lineRule="auto"/>
        <w:jc w:val="both"/>
        <w:rPr>
          <w:rFonts w:ascii="Times New Roman" w:hAnsi="Times New Roman"/>
          <w:sz w:val="24"/>
          <w:szCs w:val="24"/>
        </w:rPr>
      </w:pPr>
    </w:p>
    <w:p w14:paraId="2F66750F" w14:textId="77777777" w:rsidR="000C3642" w:rsidRPr="00773805" w:rsidRDefault="000C3642" w:rsidP="000C3642">
      <w:pPr>
        <w:pStyle w:val="PIEDEFIGURA"/>
        <w:jc w:val="center"/>
        <w:rPr>
          <w:rFonts w:ascii="Times New Roman" w:eastAsiaTheme="minorEastAsia" w:hAnsi="Times New Roman" w:cstheme="minorBidi"/>
          <w:b w:val="0"/>
          <w:color w:val="auto"/>
          <w:sz w:val="24"/>
          <w:szCs w:val="24"/>
          <w:lang w:eastAsia="ja-JP"/>
        </w:rPr>
      </w:pPr>
      <w:r w:rsidRPr="00773805">
        <w:rPr>
          <w:rFonts w:ascii="Times New Roman" w:eastAsiaTheme="minorEastAsia" w:hAnsi="Times New Roman" w:cstheme="minorBidi"/>
          <w:bCs/>
          <w:color w:val="auto"/>
          <w:sz w:val="24"/>
          <w:szCs w:val="24"/>
          <w:lang w:eastAsia="ja-JP"/>
        </w:rPr>
        <w:t>Tabla 2</w:t>
      </w:r>
      <w:r w:rsidRPr="00773805">
        <w:rPr>
          <w:rFonts w:ascii="Times New Roman" w:eastAsiaTheme="minorEastAsia" w:hAnsi="Times New Roman" w:cstheme="minorBidi"/>
          <w:b w:val="0"/>
          <w:color w:val="auto"/>
          <w:sz w:val="24"/>
          <w:szCs w:val="24"/>
          <w:lang w:eastAsia="ja-JP"/>
        </w:rPr>
        <w:t xml:space="preserve">. Efecto en la modulación de la resistencia a antibióticos en aislados clínicos de </w:t>
      </w:r>
      <w:r w:rsidRPr="00773805">
        <w:rPr>
          <w:rFonts w:ascii="Times New Roman" w:eastAsiaTheme="minorEastAsia" w:hAnsi="Times New Roman" w:cstheme="minorBidi"/>
          <w:b w:val="0"/>
          <w:i/>
          <w:iCs/>
          <w:color w:val="auto"/>
          <w:sz w:val="24"/>
          <w:szCs w:val="24"/>
          <w:lang w:eastAsia="ja-JP"/>
        </w:rPr>
        <w:t>P. aeruginosa</w:t>
      </w:r>
      <w:r w:rsidRPr="00773805">
        <w:rPr>
          <w:rFonts w:ascii="Times New Roman" w:eastAsiaTheme="minorEastAsia" w:hAnsi="Times New Roman" w:cstheme="minorBidi"/>
          <w:b w:val="0"/>
          <w:color w:val="auto"/>
          <w:sz w:val="24"/>
          <w:szCs w:val="24"/>
          <w:lang w:eastAsia="ja-JP"/>
        </w:rPr>
        <w:t xml:space="preserve"> de dos derivados de maleimidas.</w:t>
      </w:r>
    </w:p>
    <w:p w14:paraId="08A583E3" w14:textId="77777777" w:rsidR="000C3642" w:rsidRDefault="000C3642" w:rsidP="000C3642">
      <w:pPr>
        <w:pStyle w:val="PIEDEFIGURA"/>
        <w:rPr>
          <w:rFonts w:eastAsia="Calibri"/>
        </w:rPr>
      </w:pPr>
    </w:p>
    <w:p w14:paraId="50C16139" w14:textId="77777777" w:rsidR="000C3642" w:rsidRDefault="000C3642" w:rsidP="000C3642">
      <w:pPr>
        <w:pStyle w:val="Textodetabla"/>
        <w:framePr w:hSpace="0" w:wrap="auto" w:vAnchor="margin" w:hAnchor="text" w:yAlign="inline" w:anchorLock="1"/>
        <w:jc w:val="center"/>
        <w:rPr>
          <w:rFonts w:ascii="Times New Roman" w:hAnsi="Times New Roman"/>
          <w:b/>
        </w:rPr>
        <w:sectPr w:rsidR="000C3642" w:rsidSect="000C3642">
          <w:type w:val="continuous"/>
          <w:pgSz w:w="12240" w:h="15840"/>
          <w:pgMar w:top="1417" w:right="1701" w:bottom="1417" w:left="1701" w:header="708" w:footer="708" w:gutter="0"/>
          <w:cols w:space="708"/>
          <w:docGrid w:linePitch="360"/>
        </w:sectPr>
      </w:pPr>
    </w:p>
    <w:tbl>
      <w:tblPr>
        <w:tblpPr w:leftFromText="141" w:rightFromText="141" w:vertAnchor="text" w:horzAnchor="margin" w:tblpY="-66"/>
        <w:tblW w:w="5350" w:type="pct"/>
        <w:tblCellMar>
          <w:left w:w="70" w:type="dxa"/>
          <w:right w:w="70" w:type="dxa"/>
        </w:tblCellMar>
        <w:tblLook w:val="04A0" w:firstRow="1" w:lastRow="0" w:firstColumn="1" w:lastColumn="0" w:noHBand="0" w:noVBand="1"/>
      </w:tblPr>
      <w:tblGrid>
        <w:gridCol w:w="1669"/>
        <w:gridCol w:w="864"/>
        <w:gridCol w:w="864"/>
        <w:gridCol w:w="866"/>
        <w:gridCol w:w="864"/>
        <w:gridCol w:w="863"/>
        <w:gridCol w:w="865"/>
        <w:gridCol w:w="863"/>
        <w:gridCol w:w="863"/>
        <w:gridCol w:w="865"/>
      </w:tblGrid>
      <w:tr w:rsidR="000C3642" w:rsidRPr="00773805" w14:paraId="2BDF4174" w14:textId="77777777" w:rsidTr="0098490C">
        <w:trPr>
          <w:trHeight w:val="135"/>
        </w:trPr>
        <w:tc>
          <w:tcPr>
            <w:tcW w:w="883"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noWrap/>
            <w:vAlign w:val="center"/>
          </w:tcPr>
          <w:p w14:paraId="25BBA5AB"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Cepa</w:t>
            </w:r>
          </w:p>
          <w:p w14:paraId="2ACF626B" w14:textId="77777777" w:rsidR="000C3642" w:rsidRPr="00773805" w:rsidRDefault="000C3642" w:rsidP="0098490C">
            <w:pPr>
              <w:pStyle w:val="Textodetabla"/>
              <w:framePr w:hSpace="0" w:wrap="auto" w:vAnchor="margin" w:hAnchor="text" w:yAlign="inline"/>
              <w:rPr>
                <w:rFonts w:ascii="Times New Roman" w:hAnsi="Times New Roman"/>
                <w:b/>
              </w:rPr>
            </w:pPr>
          </w:p>
          <w:p w14:paraId="70FF7FC8" w14:textId="77777777" w:rsidR="000C3642" w:rsidRPr="00773805" w:rsidRDefault="000C3642" w:rsidP="0098490C">
            <w:pPr>
              <w:pStyle w:val="Textodetabla"/>
              <w:framePr w:hSpace="0" w:wrap="auto" w:vAnchor="margin" w:hAnchor="text" w:yAlign="inline"/>
              <w:jc w:val="left"/>
              <w:rPr>
                <w:rFonts w:ascii="Times New Roman" w:hAnsi="Times New Roman"/>
                <w:b/>
              </w:rPr>
            </w:pPr>
            <w:r w:rsidRPr="00773805">
              <w:rPr>
                <w:rFonts w:ascii="Times New Roman" w:hAnsi="Times New Roman"/>
                <w:b/>
              </w:rPr>
              <w:t>Agente antibiótico</w:t>
            </w:r>
          </w:p>
        </w:tc>
        <w:tc>
          <w:tcPr>
            <w:tcW w:w="1372" w:type="pct"/>
            <w:gridSpan w:val="3"/>
            <w:tcBorders>
              <w:top w:val="single" w:sz="4" w:space="0" w:color="auto"/>
              <w:left w:val="nil"/>
              <w:bottom w:val="single" w:sz="4" w:space="0" w:color="auto"/>
              <w:right w:val="single" w:sz="4" w:space="0" w:color="auto"/>
            </w:tcBorders>
            <w:shd w:val="clear" w:color="auto" w:fill="D9D9D9"/>
            <w:vAlign w:val="center"/>
            <w:hideMark/>
          </w:tcPr>
          <w:p w14:paraId="14D5FE7D"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PA54 AB</w:t>
            </w:r>
          </w:p>
        </w:tc>
        <w:tc>
          <w:tcPr>
            <w:tcW w:w="1372" w:type="pct"/>
            <w:gridSpan w:val="3"/>
            <w:tcBorders>
              <w:top w:val="single" w:sz="4" w:space="0" w:color="auto"/>
              <w:left w:val="nil"/>
              <w:bottom w:val="single" w:sz="4" w:space="0" w:color="auto"/>
              <w:right w:val="single" w:sz="4" w:space="0" w:color="auto"/>
            </w:tcBorders>
            <w:shd w:val="clear" w:color="auto" w:fill="D9D9D9"/>
            <w:vAlign w:val="center"/>
            <w:hideMark/>
          </w:tcPr>
          <w:p w14:paraId="7090CB5D"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PA238 URO</w:t>
            </w:r>
          </w:p>
        </w:tc>
        <w:tc>
          <w:tcPr>
            <w:tcW w:w="1372" w:type="pct"/>
            <w:gridSpan w:val="3"/>
            <w:tcBorders>
              <w:top w:val="single" w:sz="4" w:space="0" w:color="auto"/>
              <w:left w:val="nil"/>
              <w:bottom w:val="single" w:sz="4" w:space="0" w:color="auto"/>
              <w:right w:val="single" w:sz="4" w:space="0" w:color="000000"/>
            </w:tcBorders>
            <w:shd w:val="clear" w:color="auto" w:fill="D9D9D9"/>
            <w:vAlign w:val="center"/>
            <w:hideMark/>
          </w:tcPr>
          <w:p w14:paraId="7DD69356"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PA255 URO</w:t>
            </w:r>
          </w:p>
        </w:tc>
      </w:tr>
      <w:tr w:rsidR="000C3642" w:rsidRPr="00773805" w14:paraId="4CDECD68" w14:textId="77777777" w:rsidTr="0098490C">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ED8AE" w14:textId="77777777" w:rsidR="000C3642" w:rsidRPr="00773805" w:rsidRDefault="000C3642" w:rsidP="0098490C">
            <w:pPr>
              <w:spacing w:after="0" w:line="240" w:lineRule="auto"/>
              <w:rPr>
                <w:rFonts w:ascii="Times New Roman" w:eastAsia="Times New Roman" w:hAnsi="Times New Roman" w:cs="Times New Roman"/>
                <w:b/>
                <w:sz w:val="18"/>
                <w:lang w:val="es-ES" w:eastAsia="en-US"/>
              </w:rPr>
            </w:pPr>
          </w:p>
        </w:tc>
        <w:tc>
          <w:tcPr>
            <w:tcW w:w="457" w:type="pct"/>
            <w:tcBorders>
              <w:top w:val="nil"/>
              <w:left w:val="nil"/>
              <w:bottom w:val="single" w:sz="4" w:space="0" w:color="auto"/>
              <w:right w:val="single" w:sz="4" w:space="0" w:color="auto"/>
            </w:tcBorders>
            <w:shd w:val="clear" w:color="auto" w:fill="D9D9D9"/>
            <w:noWrap/>
            <w:vAlign w:val="center"/>
            <w:hideMark/>
          </w:tcPr>
          <w:p w14:paraId="362B6760"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w:t>
            </w:r>
          </w:p>
          <w:p w14:paraId="3A299163"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(µg/ml)</w:t>
            </w:r>
          </w:p>
        </w:tc>
        <w:tc>
          <w:tcPr>
            <w:tcW w:w="457" w:type="pct"/>
            <w:tcBorders>
              <w:top w:val="nil"/>
              <w:left w:val="nil"/>
              <w:bottom w:val="single" w:sz="4" w:space="0" w:color="auto"/>
              <w:right w:val="single" w:sz="4" w:space="0" w:color="auto"/>
            </w:tcBorders>
            <w:shd w:val="clear" w:color="auto" w:fill="D9D9D9"/>
            <w:vAlign w:val="center"/>
            <w:hideMark/>
          </w:tcPr>
          <w:p w14:paraId="67BB4FB0"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 + M10  (µg/ml)</w:t>
            </w:r>
          </w:p>
        </w:tc>
        <w:tc>
          <w:tcPr>
            <w:tcW w:w="457" w:type="pct"/>
            <w:tcBorders>
              <w:top w:val="nil"/>
              <w:left w:val="nil"/>
              <w:bottom w:val="single" w:sz="4" w:space="0" w:color="auto"/>
              <w:right w:val="single" w:sz="4" w:space="0" w:color="auto"/>
            </w:tcBorders>
            <w:shd w:val="clear" w:color="auto" w:fill="D9D9D9"/>
            <w:vAlign w:val="center"/>
            <w:hideMark/>
          </w:tcPr>
          <w:p w14:paraId="17ED1324"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 + M11  (µg/ml)</w:t>
            </w:r>
          </w:p>
        </w:tc>
        <w:tc>
          <w:tcPr>
            <w:tcW w:w="457" w:type="pct"/>
            <w:tcBorders>
              <w:top w:val="nil"/>
              <w:left w:val="nil"/>
              <w:bottom w:val="single" w:sz="4" w:space="0" w:color="auto"/>
              <w:right w:val="single" w:sz="4" w:space="0" w:color="auto"/>
            </w:tcBorders>
            <w:shd w:val="clear" w:color="auto" w:fill="D9D9D9"/>
            <w:noWrap/>
            <w:vAlign w:val="center"/>
            <w:hideMark/>
          </w:tcPr>
          <w:p w14:paraId="7D041DBF"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w:t>
            </w:r>
          </w:p>
          <w:p w14:paraId="21F62824"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(µg/ml)</w:t>
            </w:r>
          </w:p>
        </w:tc>
        <w:tc>
          <w:tcPr>
            <w:tcW w:w="457" w:type="pct"/>
            <w:tcBorders>
              <w:top w:val="nil"/>
              <w:left w:val="nil"/>
              <w:bottom w:val="single" w:sz="4" w:space="0" w:color="auto"/>
              <w:right w:val="single" w:sz="4" w:space="0" w:color="auto"/>
            </w:tcBorders>
            <w:shd w:val="clear" w:color="auto" w:fill="D9D9D9"/>
            <w:vAlign w:val="center"/>
            <w:hideMark/>
          </w:tcPr>
          <w:p w14:paraId="7B6EBB60"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 + M10 (µg/ml)</w:t>
            </w:r>
          </w:p>
        </w:tc>
        <w:tc>
          <w:tcPr>
            <w:tcW w:w="457" w:type="pct"/>
            <w:tcBorders>
              <w:top w:val="nil"/>
              <w:left w:val="nil"/>
              <w:bottom w:val="single" w:sz="4" w:space="0" w:color="auto"/>
              <w:right w:val="single" w:sz="4" w:space="0" w:color="auto"/>
            </w:tcBorders>
            <w:shd w:val="clear" w:color="auto" w:fill="D9D9D9"/>
            <w:vAlign w:val="center"/>
            <w:hideMark/>
          </w:tcPr>
          <w:p w14:paraId="62174AF5"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 + M11 (µg/ml)</w:t>
            </w:r>
          </w:p>
        </w:tc>
        <w:tc>
          <w:tcPr>
            <w:tcW w:w="457" w:type="pct"/>
            <w:tcBorders>
              <w:top w:val="nil"/>
              <w:left w:val="nil"/>
              <w:bottom w:val="single" w:sz="4" w:space="0" w:color="auto"/>
              <w:right w:val="single" w:sz="4" w:space="0" w:color="auto"/>
            </w:tcBorders>
            <w:shd w:val="clear" w:color="auto" w:fill="D9D9D9"/>
            <w:noWrap/>
            <w:vAlign w:val="center"/>
            <w:hideMark/>
          </w:tcPr>
          <w:p w14:paraId="32A38739"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w:t>
            </w:r>
          </w:p>
          <w:p w14:paraId="468776F7"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(µg/ml)</w:t>
            </w:r>
          </w:p>
        </w:tc>
        <w:tc>
          <w:tcPr>
            <w:tcW w:w="457" w:type="pct"/>
            <w:tcBorders>
              <w:top w:val="nil"/>
              <w:left w:val="nil"/>
              <w:bottom w:val="single" w:sz="4" w:space="0" w:color="auto"/>
              <w:right w:val="single" w:sz="4" w:space="0" w:color="auto"/>
            </w:tcBorders>
            <w:shd w:val="clear" w:color="auto" w:fill="D9D9D9"/>
            <w:vAlign w:val="center"/>
            <w:hideMark/>
          </w:tcPr>
          <w:p w14:paraId="55EBB2BA"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 + M10 (µg/ml)</w:t>
            </w:r>
          </w:p>
        </w:tc>
        <w:tc>
          <w:tcPr>
            <w:tcW w:w="457" w:type="pct"/>
            <w:tcBorders>
              <w:top w:val="nil"/>
              <w:left w:val="nil"/>
              <w:bottom w:val="single" w:sz="4" w:space="0" w:color="auto"/>
              <w:right w:val="single" w:sz="4" w:space="0" w:color="auto"/>
            </w:tcBorders>
            <w:shd w:val="clear" w:color="auto" w:fill="D9D9D9"/>
            <w:vAlign w:val="center"/>
            <w:hideMark/>
          </w:tcPr>
          <w:p w14:paraId="4E3470F9" w14:textId="77777777" w:rsidR="000C3642" w:rsidRPr="00773805" w:rsidRDefault="000C3642" w:rsidP="0098490C">
            <w:pPr>
              <w:pStyle w:val="Textodetabla"/>
              <w:framePr w:hSpace="0" w:wrap="auto" w:vAnchor="margin" w:hAnchor="text" w:yAlign="inline"/>
              <w:jc w:val="center"/>
              <w:rPr>
                <w:rFonts w:ascii="Times New Roman" w:hAnsi="Times New Roman"/>
                <w:b/>
              </w:rPr>
            </w:pPr>
            <w:r w:rsidRPr="00773805">
              <w:rPr>
                <w:rFonts w:ascii="Times New Roman" w:hAnsi="Times New Roman"/>
                <w:b/>
              </w:rPr>
              <w:t>CMI + M11 (µg/ml)</w:t>
            </w:r>
          </w:p>
        </w:tc>
      </w:tr>
      <w:tr w:rsidR="000C3642" w:rsidRPr="00773805" w14:paraId="6439A1D7" w14:textId="77777777" w:rsidTr="0098490C">
        <w:trPr>
          <w:trHeight w:val="316"/>
        </w:trPr>
        <w:tc>
          <w:tcPr>
            <w:tcW w:w="883" w:type="pct"/>
            <w:tcBorders>
              <w:top w:val="nil"/>
              <w:left w:val="single" w:sz="4" w:space="0" w:color="auto"/>
              <w:bottom w:val="single" w:sz="4" w:space="0" w:color="auto"/>
              <w:right w:val="single" w:sz="4" w:space="0" w:color="auto"/>
            </w:tcBorders>
            <w:shd w:val="clear" w:color="auto" w:fill="F2F2F2"/>
            <w:noWrap/>
            <w:vAlign w:val="center"/>
            <w:hideMark/>
          </w:tcPr>
          <w:p w14:paraId="1A7AFD87" w14:textId="77777777" w:rsidR="000C3642" w:rsidRPr="00773805" w:rsidRDefault="000C3642" w:rsidP="0098490C">
            <w:pPr>
              <w:pStyle w:val="Textodetabla"/>
              <w:framePr w:hSpace="0" w:wrap="auto" w:vAnchor="margin" w:hAnchor="text" w:yAlign="inline"/>
              <w:rPr>
                <w:rFonts w:ascii="Times New Roman" w:hAnsi="Times New Roman"/>
                <w:b/>
              </w:rPr>
            </w:pPr>
            <w:r w:rsidRPr="00773805">
              <w:rPr>
                <w:rFonts w:ascii="Times New Roman" w:hAnsi="Times New Roman"/>
                <w:b/>
              </w:rPr>
              <w:t>Ciprofloxacino</w:t>
            </w:r>
          </w:p>
        </w:tc>
        <w:tc>
          <w:tcPr>
            <w:tcW w:w="457" w:type="pct"/>
            <w:tcBorders>
              <w:top w:val="nil"/>
              <w:left w:val="nil"/>
              <w:bottom w:val="single" w:sz="4" w:space="0" w:color="auto"/>
              <w:right w:val="single" w:sz="4" w:space="0" w:color="auto"/>
            </w:tcBorders>
            <w:noWrap/>
            <w:vAlign w:val="center"/>
            <w:hideMark/>
          </w:tcPr>
          <w:p w14:paraId="7B5CE959"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 4</w:t>
            </w:r>
          </w:p>
        </w:tc>
        <w:tc>
          <w:tcPr>
            <w:tcW w:w="457" w:type="pct"/>
            <w:tcBorders>
              <w:top w:val="nil"/>
              <w:left w:val="nil"/>
              <w:bottom w:val="single" w:sz="4" w:space="0" w:color="auto"/>
              <w:right w:val="single" w:sz="4" w:space="0" w:color="auto"/>
            </w:tcBorders>
            <w:noWrap/>
            <w:vAlign w:val="center"/>
            <w:hideMark/>
          </w:tcPr>
          <w:p w14:paraId="3670FC36"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 4</w:t>
            </w:r>
          </w:p>
        </w:tc>
        <w:tc>
          <w:tcPr>
            <w:tcW w:w="457" w:type="pct"/>
            <w:tcBorders>
              <w:top w:val="nil"/>
              <w:left w:val="nil"/>
              <w:bottom w:val="single" w:sz="4" w:space="0" w:color="auto"/>
              <w:right w:val="single" w:sz="4" w:space="0" w:color="auto"/>
            </w:tcBorders>
            <w:noWrap/>
            <w:vAlign w:val="center"/>
            <w:hideMark/>
          </w:tcPr>
          <w:p w14:paraId="27886747"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 4</w:t>
            </w:r>
          </w:p>
        </w:tc>
        <w:tc>
          <w:tcPr>
            <w:tcW w:w="457" w:type="pct"/>
            <w:tcBorders>
              <w:top w:val="nil"/>
              <w:left w:val="nil"/>
              <w:bottom w:val="single" w:sz="4" w:space="0" w:color="auto"/>
              <w:right w:val="single" w:sz="4" w:space="0" w:color="auto"/>
            </w:tcBorders>
            <w:noWrap/>
            <w:vAlign w:val="center"/>
            <w:hideMark/>
          </w:tcPr>
          <w:p w14:paraId="36EEE975"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c>
          <w:tcPr>
            <w:tcW w:w="457" w:type="pct"/>
            <w:tcBorders>
              <w:top w:val="nil"/>
              <w:left w:val="nil"/>
              <w:bottom w:val="single" w:sz="4" w:space="0" w:color="auto"/>
              <w:right w:val="single" w:sz="4" w:space="0" w:color="auto"/>
            </w:tcBorders>
            <w:noWrap/>
            <w:vAlign w:val="center"/>
            <w:hideMark/>
          </w:tcPr>
          <w:p w14:paraId="067EFF1B"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c>
          <w:tcPr>
            <w:tcW w:w="457" w:type="pct"/>
            <w:tcBorders>
              <w:top w:val="nil"/>
              <w:left w:val="nil"/>
              <w:bottom w:val="single" w:sz="4" w:space="0" w:color="auto"/>
              <w:right w:val="single" w:sz="4" w:space="0" w:color="auto"/>
            </w:tcBorders>
            <w:noWrap/>
            <w:vAlign w:val="center"/>
            <w:hideMark/>
          </w:tcPr>
          <w:p w14:paraId="510D5ADE"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c>
          <w:tcPr>
            <w:tcW w:w="457" w:type="pct"/>
            <w:tcBorders>
              <w:top w:val="nil"/>
              <w:left w:val="nil"/>
              <w:bottom w:val="single" w:sz="4" w:space="0" w:color="auto"/>
              <w:right w:val="single" w:sz="4" w:space="0" w:color="auto"/>
            </w:tcBorders>
            <w:noWrap/>
            <w:vAlign w:val="center"/>
            <w:hideMark/>
          </w:tcPr>
          <w:p w14:paraId="0863C900"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c>
          <w:tcPr>
            <w:tcW w:w="457" w:type="pct"/>
            <w:tcBorders>
              <w:top w:val="nil"/>
              <w:left w:val="nil"/>
              <w:bottom w:val="single" w:sz="4" w:space="0" w:color="auto"/>
              <w:right w:val="single" w:sz="4" w:space="0" w:color="auto"/>
            </w:tcBorders>
            <w:noWrap/>
            <w:vAlign w:val="center"/>
            <w:hideMark/>
          </w:tcPr>
          <w:p w14:paraId="7722AA03"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c>
          <w:tcPr>
            <w:tcW w:w="457" w:type="pct"/>
            <w:tcBorders>
              <w:top w:val="nil"/>
              <w:left w:val="nil"/>
              <w:bottom w:val="single" w:sz="4" w:space="0" w:color="auto"/>
              <w:right w:val="single" w:sz="4" w:space="0" w:color="auto"/>
            </w:tcBorders>
            <w:noWrap/>
            <w:vAlign w:val="center"/>
            <w:hideMark/>
          </w:tcPr>
          <w:p w14:paraId="07E12AF5"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r>
      <w:tr w:rsidR="000C3642" w:rsidRPr="00773805" w14:paraId="108D371B" w14:textId="77777777" w:rsidTr="0098490C">
        <w:trPr>
          <w:trHeight w:val="293"/>
        </w:trPr>
        <w:tc>
          <w:tcPr>
            <w:tcW w:w="883" w:type="pct"/>
            <w:tcBorders>
              <w:top w:val="nil"/>
              <w:left w:val="single" w:sz="4" w:space="0" w:color="auto"/>
              <w:bottom w:val="single" w:sz="4" w:space="0" w:color="auto"/>
              <w:right w:val="single" w:sz="4" w:space="0" w:color="auto"/>
            </w:tcBorders>
            <w:shd w:val="clear" w:color="auto" w:fill="F2F2F2"/>
            <w:noWrap/>
            <w:vAlign w:val="center"/>
            <w:hideMark/>
          </w:tcPr>
          <w:p w14:paraId="12028EB9" w14:textId="77777777" w:rsidR="000C3642" w:rsidRPr="00773805" w:rsidRDefault="000C3642" w:rsidP="0098490C">
            <w:pPr>
              <w:pStyle w:val="Textodetabla"/>
              <w:framePr w:hSpace="0" w:wrap="auto" w:vAnchor="margin" w:hAnchor="text" w:yAlign="inline"/>
              <w:rPr>
                <w:rFonts w:ascii="Times New Roman" w:hAnsi="Times New Roman"/>
                <w:b/>
              </w:rPr>
            </w:pPr>
            <w:r w:rsidRPr="00773805">
              <w:rPr>
                <w:rFonts w:ascii="Times New Roman" w:hAnsi="Times New Roman"/>
                <w:b/>
              </w:rPr>
              <w:t>Cloranfenicol</w:t>
            </w:r>
          </w:p>
        </w:tc>
        <w:tc>
          <w:tcPr>
            <w:tcW w:w="457" w:type="pct"/>
            <w:tcBorders>
              <w:top w:val="nil"/>
              <w:left w:val="nil"/>
              <w:bottom w:val="single" w:sz="4" w:space="0" w:color="auto"/>
              <w:right w:val="single" w:sz="4" w:space="0" w:color="auto"/>
            </w:tcBorders>
            <w:noWrap/>
            <w:vAlign w:val="center"/>
            <w:hideMark/>
          </w:tcPr>
          <w:p w14:paraId="072A0BFA"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c>
          <w:tcPr>
            <w:tcW w:w="457" w:type="pct"/>
            <w:tcBorders>
              <w:top w:val="nil"/>
              <w:left w:val="nil"/>
              <w:bottom w:val="single" w:sz="4" w:space="0" w:color="auto"/>
              <w:right w:val="single" w:sz="4" w:space="0" w:color="auto"/>
            </w:tcBorders>
            <w:noWrap/>
            <w:vAlign w:val="center"/>
            <w:hideMark/>
          </w:tcPr>
          <w:p w14:paraId="731A3535"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c>
          <w:tcPr>
            <w:tcW w:w="457" w:type="pct"/>
            <w:tcBorders>
              <w:top w:val="nil"/>
              <w:left w:val="nil"/>
              <w:bottom w:val="single" w:sz="4" w:space="0" w:color="auto"/>
              <w:right w:val="single" w:sz="4" w:space="0" w:color="auto"/>
            </w:tcBorders>
            <w:noWrap/>
            <w:vAlign w:val="center"/>
            <w:hideMark/>
          </w:tcPr>
          <w:p w14:paraId="4F7825B8"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c>
          <w:tcPr>
            <w:tcW w:w="457" w:type="pct"/>
            <w:tcBorders>
              <w:top w:val="nil"/>
              <w:left w:val="nil"/>
              <w:bottom w:val="single" w:sz="4" w:space="0" w:color="auto"/>
              <w:right w:val="single" w:sz="4" w:space="0" w:color="auto"/>
            </w:tcBorders>
            <w:noWrap/>
            <w:vAlign w:val="center"/>
            <w:hideMark/>
          </w:tcPr>
          <w:p w14:paraId="4F4BDA3C"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c>
          <w:tcPr>
            <w:tcW w:w="457" w:type="pct"/>
            <w:tcBorders>
              <w:top w:val="nil"/>
              <w:left w:val="nil"/>
              <w:bottom w:val="single" w:sz="4" w:space="0" w:color="auto"/>
              <w:right w:val="single" w:sz="4" w:space="0" w:color="auto"/>
            </w:tcBorders>
            <w:noWrap/>
            <w:vAlign w:val="center"/>
            <w:hideMark/>
          </w:tcPr>
          <w:p w14:paraId="2C001A32"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c>
          <w:tcPr>
            <w:tcW w:w="457" w:type="pct"/>
            <w:tcBorders>
              <w:top w:val="nil"/>
              <w:left w:val="nil"/>
              <w:bottom w:val="single" w:sz="4" w:space="0" w:color="auto"/>
              <w:right w:val="single" w:sz="4" w:space="0" w:color="auto"/>
            </w:tcBorders>
            <w:noWrap/>
            <w:vAlign w:val="center"/>
            <w:hideMark/>
          </w:tcPr>
          <w:p w14:paraId="1AF9C74F"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c>
          <w:tcPr>
            <w:tcW w:w="457" w:type="pct"/>
            <w:tcBorders>
              <w:top w:val="nil"/>
              <w:left w:val="nil"/>
              <w:bottom w:val="single" w:sz="4" w:space="0" w:color="auto"/>
              <w:right w:val="single" w:sz="4" w:space="0" w:color="auto"/>
            </w:tcBorders>
            <w:noWrap/>
            <w:vAlign w:val="center"/>
            <w:hideMark/>
          </w:tcPr>
          <w:p w14:paraId="7B5FDEB0"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1024</w:t>
            </w:r>
          </w:p>
        </w:tc>
        <w:tc>
          <w:tcPr>
            <w:tcW w:w="457" w:type="pct"/>
            <w:tcBorders>
              <w:top w:val="nil"/>
              <w:left w:val="nil"/>
              <w:bottom w:val="single" w:sz="4" w:space="0" w:color="auto"/>
              <w:right w:val="single" w:sz="4" w:space="0" w:color="auto"/>
            </w:tcBorders>
            <w:noWrap/>
            <w:vAlign w:val="center"/>
            <w:hideMark/>
          </w:tcPr>
          <w:p w14:paraId="27EF0099"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1024</w:t>
            </w:r>
          </w:p>
        </w:tc>
        <w:tc>
          <w:tcPr>
            <w:tcW w:w="457" w:type="pct"/>
            <w:tcBorders>
              <w:top w:val="nil"/>
              <w:left w:val="nil"/>
              <w:bottom w:val="single" w:sz="4" w:space="0" w:color="auto"/>
              <w:right w:val="single" w:sz="4" w:space="0" w:color="auto"/>
            </w:tcBorders>
            <w:noWrap/>
            <w:vAlign w:val="center"/>
            <w:hideMark/>
          </w:tcPr>
          <w:p w14:paraId="16F6AE66"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1024</w:t>
            </w:r>
          </w:p>
        </w:tc>
      </w:tr>
      <w:tr w:rsidR="000C3642" w:rsidRPr="00773805" w14:paraId="735A879C" w14:textId="77777777" w:rsidTr="0098490C">
        <w:trPr>
          <w:trHeight w:val="388"/>
        </w:trPr>
        <w:tc>
          <w:tcPr>
            <w:tcW w:w="883" w:type="pct"/>
            <w:tcBorders>
              <w:top w:val="nil"/>
              <w:left w:val="single" w:sz="4" w:space="0" w:color="auto"/>
              <w:bottom w:val="single" w:sz="4" w:space="0" w:color="auto"/>
              <w:right w:val="single" w:sz="4" w:space="0" w:color="auto"/>
            </w:tcBorders>
            <w:shd w:val="clear" w:color="auto" w:fill="F2F2F2"/>
            <w:noWrap/>
            <w:vAlign w:val="center"/>
            <w:hideMark/>
          </w:tcPr>
          <w:p w14:paraId="1487B531" w14:textId="77777777" w:rsidR="000C3642" w:rsidRPr="00773805" w:rsidRDefault="000C3642" w:rsidP="0098490C">
            <w:pPr>
              <w:pStyle w:val="Textodetabla"/>
              <w:framePr w:hSpace="0" w:wrap="auto" w:vAnchor="margin" w:hAnchor="text" w:yAlign="inline"/>
              <w:rPr>
                <w:rFonts w:ascii="Times New Roman" w:hAnsi="Times New Roman"/>
                <w:b/>
              </w:rPr>
            </w:pPr>
            <w:r w:rsidRPr="00773805">
              <w:rPr>
                <w:rFonts w:ascii="Times New Roman" w:hAnsi="Times New Roman"/>
                <w:b/>
              </w:rPr>
              <w:t>Gentamicina</w:t>
            </w:r>
          </w:p>
        </w:tc>
        <w:tc>
          <w:tcPr>
            <w:tcW w:w="457" w:type="pct"/>
            <w:tcBorders>
              <w:top w:val="nil"/>
              <w:left w:val="nil"/>
              <w:bottom w:val="single" w:sz="4" w:space="0" w:color="auto"/>
              <w:right w:val="single" w:sz="4" w:space="0" w:color="auto"/>
            </w:tcBorders>
            <w:noWrap/>
            <w:vAlign w:val="center"/>
            <w:hideMark/>
          </w:tcPr>
          <w:p w14:paraId="353EDCFD"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64</w:t>
            </w:r>
          </w:p>
        </w:tc>
        <w:tc>
          <w:tcPr>
            <w:tcW w:w="457" w:type="pct"/>
            <w:tcBorders>
              <w:top w:val="nil"/>
              <w:left w:val="nil"/>
              <w:bottom w:val="single" w:sz="4" w:space="0" w:color="auto"/>
              <w:right w:val="single" w:sz="4" w:space="0" w:color="auto"/>
            </w:tcBorders>
            <w:noWrap/>
            <w:vAlign w:val="center"/>
            <w:hideMark/>
          </w:tcPr>
          <w:p w14:paraId="47B094A0"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64</w:t>
            </w:r>
          </w:p>
        </w:tc>
        <w:tc>
          <w:tcPr>
            <w:tcW w:w="457" w:type="pct"/>
            <w:tcBorders>
              <w:top w:val="nil"/>
              <w:left w:val="nil"/>
              <w:bottom w:val="single" w:sz="4" w:space="0" w:color="auto"/>
              <w:right w:val="single" w:sz="4" w:space="0" w:color="auto"/>
            </w:tcBorders>
            <w:noWrap/>
            <w:vAlign w:val="center"/>
            <w:hideMark/>
          </w:tcPr>
          <w:p w14:paraId="5C42993D"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64</w:t>
            </w:r>
          </w:p>
        </w:tc>
        <w:tc>
          <w:tcPr>
            <w:tcW w:w="457" w:type="pct"/>
            <w:tcBorders>
              <w:top w:val="nil"/>
              <w:left w:val="nil"/>
              <w:bottom w:val="single" w:sz="4" w:space="0" w:color="auto"/>
              <w:right w:val="single" w:sz="4" w:space="0" w:color="auto"/>
            </w:tcBorders>
            <w:noWrap/>
            <w:vAlign w:val="center"/>
            <w:hideMark/>
          </w:tcPr>
          <w:p w14:paraId="01FD8E35"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16</w:t>
            </w:r>
          </w:p>
        </w:tc>
        <w:tc>
          <w:tcPr>
            <w:tcW w:w="457" w:type="pct"/>
            <w:tcBorders>
              <w:top w:val="nil"/>
              <w:left w:val="nil"/>
              <w:bottom w:val="single" w:sz="4" w:space="0" w:color="auto"/>
              <w:right w:val="single" w:sz="4" w:space="0" w:color="auto"/>
            </w:tcBorders>
            <w:noWrap/>
            <w:vAlign w:val="center"/>
            <w:hideMark/>
          </w:tcPr>
          <w:p w14:paraId="774540F2"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16</w:t>
            </w:r>
          </w:p>
        </w:tc>
        <w:tc>
          <w:tcPr>
            <w:tcW w:w="457" w:type="pct"/>
            <w:tcBorders>
              <w:top w:val="nil"/>
              <w:left w:val="nil"/>
              <w:bottom w:val="single" w:sz="4" w:space="0" w:color="auto"/>
              <w:right w:val="single" w:sz="4" w:space="0" w:color="auto"/>
            </w:tcBorders>
            <w:noWrap/>
            <w:vAlign w:val="center"/>
            <w:hideMark/>
          </w:tcPr>
          <w:p w14:paraId="36D97EE0"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16</w:t>
            </w:r>
          </w:p>
        </w:tc>
        <w:tc>
          <w:tcPr>
            <w:tcW w:w="457" w:type="pct"/>
            <w:tcBorders>
              <w:top w:val="nil"/>
              <w:left w:val="nil"/>
              <w:bottom w:val="single" w:sz="4" w:space="0" w:color="auto"/>
              <w:right w:val="single" w:sz="4" w:space="0" w:color="auto"/>
            </w:tcBorders>
            <w:noWrap/>
            <w:vAlign w:val="center"/>
            <w:hideMark/>
          </w:tcPr>
          <w:p w14:paraId="50E524A0"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c>
          <w:tcPr>
            <w:tcW w:w="457" w:type="pct"/>
            <w:tcBorders>
              <w:top w:val="nil"/>
              <w:left w:val="nil"/>
              <w:bottom w:val="single" w:sz="4" w:space="0" w:color="auto"/>
              <w:right w:val="single" w:sz="4" w:space="0" w:color="auto"/>
            </w:tcBorders>
            <w:noWrap/>
            <w:vAlign w:val="center"/>
            <w:hideMark/>
          </w:tcPr>
          <w:p w14:paraId="01BAF262"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c>
          <w:tcPr>
            <w:tcW w:w="457" w:type="pct"/>
            <w:tcBorders>
              <w:top w:val="nil"/>
              <w:left w:val="nil"/>
              <w:bottom w:val="single" w:sz="4" w:space="0" w:color="auto"/>
              <w:right w:val="single" w:sz="4" w:space="0" w:color="auto"/>
            </w:tcBorders>
            <w:noWrap/>
            <w:vAlign w:val="center"/>
            <w:hideMark/>
          </w:tcPr>
          <w:p w14:paraId="7BF14E6C"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32</w:t>
            </w:r>
          </w:p>
        </w:tc>
      </w:tr>
      <w:tr w:rsidR="000C3642" w:rsidRPr="00773805" w14:paraId="592957E7" w14:textId="77777777" w:rsidTr="0098490C">
        <w:trPr>
          <w:trHeight w:val="364"/>
        </w:trPr>
        <w:tc>
          <w:tcPr>
            <w:tcW w:w="883" w:type="pct"/>
            <w:tcBorders>
              <w:top w:val="nil"/>
              <w:left w:val="single" w:sz="4" w:space="0" w:color="auto"/>
              <w:bottom w:val="single" w:sz="4" w:space="0" w:color="auto"/>
              <w:right w:val="single" w:sz="4" w:space="0" w:color="auto"/>
            </w:tcBorders>
            <w:shd w:val="clear" w:color="auto" w:fill="F2F2F2"/>
            <w:noWrap/>
            <w:vAlign w:val="center"/>
            <w:hideMark/>
          </w:tcPr>
          <w:p w14:paraId="73115EAF" w14:textId="77777777" w:rsidR="000C3642" w:rsidRPr="00773805" w:rsidRDefault="000C3642" w:rsidP="0098490C">
            <w:pPr>
              <w:pStyle w:val="Textodetabla"/>
              <w:framePr w:hSpace="0" w:wrap="auto" w:vAnchor="margin" w:hAnchor="text" w:yAlign="inline"/>
              <w:rPr>
                <w:rFonts w:ascii="Times New Roman" w:hAnsi="Times New Roman"/>
                <w:b/>
              </w:rPr>
            </w:pPr>
            <w:r w:rsidRPr="00773805">
              <w:rPr>
                <w:rFonts w:ascii="Times New Roman" w:hAnsi="Times New Roman"/>
                <w:b/>
              </w:rPr>
              <w:t>Tetraciclina</w:t>
            </w:r>
          </w:p>
        </w:tc>
        <w:tc>
          <w:tcPr>
            <w:tcW w:w="457" w:type="pct"/>
            <w:tcBorders>
              <w:top w:val="nil"/>
              <w:left w:val="nil"/>
              <w:bottom w:val="single" w:sz="4" w:space="0" w:color="auto"/>
              <w:right w:val="single" w:sz="4" w:space="0" w:color="auto"/>
            </w:tcBorders>
            <w:noWrap/>
            <w:vAlign w:val="center"/>
            <w:hideMark/>
          </w:tcPr>
          <w:p w14:paraId="7C6A58E1"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16</w:t>
            </w:r>
          </w:p>
        </w:tc>
        <w:tc>
          <w:tcPr>
            <w:tcW w:w="457" w:type="pct"/>
            <w:tcBorders>
              <w:top w:val="nil"/>
              <w:left w:val="nil"/>
              <w:bottom w:val="single" w:sz="4" w:space="0" w:color="auto"/>
              <w:right w:val="single" w:sz="4" w:space="0" w:color="auto"/>
            </w:tcBorders>
            <w:noWrap/>
            <w:vAlign w:val="center"/>
            <w:hideMark/>
          </w:tcPr>
          <w:p w14:paraId="16E0B2F1"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16</w:t>
            </w:r>
          </w:p>
        </w:tc>
        <w:tc>
          <w:tcPr>
            <w:tcW w:w="457" w:type="pct"/>
            <w:tcBorders>
              <w:top w:val="nil"/>
              <w:left w:val="nil"/>
              <w:bottom w:val="single" w:sz="4" w:space="0" w:color="auto"/>
              <w:right w:val="single" w:sz="4" w:space="0" w:color="auto"/>
            </w:tcBorders>
            <w:noWrap/>
            <w:vAlign w:val="center"/>
            <w:hideMark/>
          </w:tcPr>
          <w:p w14:paraId="453D7D20"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16</w:t>
            </w:r>
          </w:p>
        </w:tc>
        <w:tc>
          <w:tcPr>
            <w:tcW w:w="457" w:type="pct"/>
            <w:tcBorders>
              <w:top w:val="nil"/>
              <w:left w:val="nil"/>
              <w:bottom w:val="single" w:sz="4" w:space="0" w:color="auto"/>
              <w:right w:val="single" w:sz="4" w:space="0" w:color="auto"/>
            </w:tcBorders>
            <w:noWrap/>
            <w:vAlign w:val="center"/>
            <w:hideMark/>
          </w:tcPr>
          <w:p w14:paraId="62F60998"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64</w:t>
            </w:r>
          </w:p>
        </w:tc>
        <w:tc>
          <w:tcPr>
            <w:tcW w:w="457" w:type="pct"/>
            <w:tcBorders>
              <w:top w:val="nil"/>
              <w:left w:val="nil"/>
              <w:bottom w:val="single" w:sz="4" w:space="0" w:color="auto"/>
              <w:right w:val="single" w:sz="4" w:space="0" w:color="auto"/>
            </w:tcBorders>
            <w:noWrap/>
            <w:vAlign w:val="center"/>
            <w:hideMark/>
          </w:tcPr>
          <w:p w14:paraId="13DAE550"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64</w:t>
            </w:r>
          </w:p>
        </w:tc>
        <w:tc>
          <w:tcPr>
            <w:tcW w:w="457" w:type="pct"/>
            <w:tcBorders>
              <w:top w:val="nil"/>
              <w:left w:val="nil"/>
              <w:bottom w:val="single" w:sz="4" w:space="0" w:color="auto"/>
              <w:right w:val="single" w:sz="4" w:space="0" w:color="auto"/>
            </w:tcBorders>
            <w:noWrap/>
            <w:vAlign w:val="center"/>
            <w:hideMark/>
          </w:tcPr>
          <w:p w14:paraId="4F9BE06A"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64</w:t>
            </w:r>
          </w:p>
        </w:tc>
        <w:tc>
          <w:tcPr>
            <w:tcW w:w="457" w:type="pct"/>
            <w:tcBorders>
              <w:top w:val="nil"/>
              <w:left w:val="nil"/>
              <w:bottom w:val="single" w:sz="4" w:space="0" w:color="auto"/>
              <w:right w:val="single" w:sz="4" w:space="0" w:color="auto"/>
            </w:tcBorders>
            <w:noWrap/>
            <w:vAlign w:val="center"/>
            <w:hideMark/>
          </w:tcPr>
          <w:p w14:paraId="29FD1EBF"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c>
          <w:tcPr>
            <w:tcW w:w="457" w:type="pct"/>
            <w:tcBorders>
              <w:top w:val="nil"/>
              <w:left w:val="nil"/>
              <w:bottom w:val="single" w:sz="4" w:space="0" w:color="auto"/>
              <w:right w:val="single" w:sz="4" w:space="0" w:color="auto"/>
            </w:tcBorders>
            <w:noWrap/>
            <w:vAlign w:val="center"/>
            <w:hideMark/>
          </w:tcPr>
          <w:p w14:paraId="6E914FDD"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c>
          <w:tcPr>
            <w:tcW w:w="457" w:type="pct"/>
            <w:tcBorders>
              <w:top w:val="nil"/>
              <w:left w:val="nil"/>
              <w:bottom w:val="single" w:sz="4" w:space="0" w:color="auto"/>
              <w:right w:val="single" w:sz="4" w:space="0" w:color="auto"/>
            </w:tcBorders>
            <w:noWrap/>
            <w:vAlign w:val="center"/>
            <w:hideMark/>
          </w:tcPr>
          <w:p w14:paraId="57B1C041" w14:textId="77777777" w:rsidR="000C3642" w:rsidRPr="00773805" w:rsidRDefault="000C3642" w:rsidP="0098490C">
            <w:pPr>
              <w:pStyle w:val="Textodetabla"/>
              <w:framePr w:hSpace="0" w:wrap="auto" w:vAnchor="margin" w:hAnchor="text" w:yAlign="inline"/>
              <w:jc w:val="center"/>
              <w:rPr>
                <w:rFonts w:ascii="Times New Roman" w:hAnsi="Times New Roman"/>
              </w:rPr>
            </w:pPr>
            <w:r w:rsidRPr="00773805">
              <w:rPr>
                <w:rFonts w:ascii="Times New Roman" w:hAnsi="Times New Roman"/>
              </w:rPr>
              <w:t>&gt; 256</w:t>
            </w:r>
          </w:p>
        </w:tc>
      </w:tr>
    </w:tbl>
    <w:p w14:paraId="221E0E0A" w14:textId="77777777" w:rsidR="000C3642" w:rsidRPr="00773805" w:rsidRDefault="000C3642" w:rsidP="000C3642">
      <w:pPr>
        <w:pStyle w:val="PIEDEFIGURA"/>
        <w:rPr>
          <w:rFonts w:ascii="Times New Roman" w:eastAsia="Calibri" w:hAnsi="Times New Roman"/>
          <w:color w:val="404040"/>
        </w:rPr>
      </w:pPr>
      <w:r w:rsidRPr="00773805">
        <w:rPr>
          <w:rFonts w:ascii="Times New Roman" w:eastAsia="Calibri" w:hAnsi="Times New Roman"/>
          <w:color w:val="404040"/>
        </w:rPr>
        <w:t>CMI: Concentración Mínima Inhibitoria, M10: Inhibidor Molécula 10, M11: Inhibidor Molécula 11.</w:t>
      </w:r>
    </w:p>
    <w:p w14:paraId="4FD8133A" w14:textId="77777777" w:rsidR="000C3642" w:rsidRDefault="000C3642" w:rsidP="006541C1">
      <w:pPr>
        <w:spacing w:line="360" w:lineRule="auto"/>
        <w:jc w:val="both"/>
        <w:rPr>
          <w:rFonts w:ascii="Times New Roman" w:hAnsi="Times New Roman"/>
          <w:sz w:val="24"/>
          <w:szCs w:val="24"/>
        </w:rPr>
      </w:pPr>
    </w:p>
    <w:sectPr w:rsidR="000C3642" w:rsidSect="000C364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81C4" w14:textId="77777777" w:rsidR="0081235D" w:rsidRDefault="0081235D" w:rsidP="003522FA">
      <w:pPr>
        <w:spacing w:after="0" w:line="240" w:lineRule="auto"/>
      </w:pPr>
      <w:r>
        <w:separator/>
      </w:r>
    </w:p>
  </w:endnote>
  <w:endnote w:type="continuationSeparator" w:id="0">
    <w:p w14:paraId="14AD24CD" w14:textId="77777777" w:rsidR="0081235D" w:rsidRDefault="0081235D" w:rsidP="003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F23E" w14:textId="77777777" w:rsidR="004D30C9" w:rsidRDefault="004D30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9328"/>
      <w:docPartObj>
        <w:docPartGallery w:val="Page Numbers (Bottom of Page)"/>
        <w:docPartUnique/>
      </w:docPartObj>
    </w:sdtPr>
    <w:sdtContent>
      <w:p w14:paraId="620CFCC2" w14:textId="77777777" w:rsidR="004D30C9" w:rsidRDefault="004D30C9">
        <w:pPr>
          <w:pStyle w:val="Piedepgina"/>
          <w:jc w:val="right"/>
        </w:pPr>
        <w:r>
          <w:fldChar w:fldCharType="begin"/>
        </w:r>
        <w:r>
          <w:instrText>PAGE   \* MERGEFORMAT</w:instrText>
        </w:r>
        <w:r>
          <w:fldChar w:fldCharType="separate"/>
        </w:r>
        <w:r w:rsidR="00BA10B6" w:rsidRPr="00BA10B6">
          <w:rPr>
            <w:noProof/>
            <w:lang w:val="es-ES"/>
          </w:rPr>
          <w:t>1</w:t>
        </w:r>
        <w:r>
          <w:fldChar w:fldCharType="end"/>
        </w:r>
      </w:p>
    </w:sdtContent>
  </w:sdt>
  <w:p w14:paraId="27498761" w14:textId="77777777" w:rsidR="004D30C9" w:rsidRDefault="004D30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38FF" w14:textId="77777777" w:rsidR="004D30C9" w:rsidRDefault="004D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9F91" w14:textId="77777777" w:rsidR="0081235D" w:rsidRDefault="0081235D" w:rsidP="003522FA">
      <w:pPr>
        <w:spacing w:after="0" w:line="240" w:lineRule="auto"/>
      </w:pPr>
      <w:r>
        <w:separator/>
      </w:r>
    </w:p>
  </w:footnote>
  <w:footnote w:type="continuationSeparator" w:id="0">
    <w:p w14:paraId="2FF7EF51" w14:textId="77777777" w:rsidR="0081235D" w:rsidRDefault="0081235D" w:rsidP="0035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0F88" w14:textId="77777777" w:rsidR="004D30C9" w:rsidRDefault="004D30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8402"/>
      <w:gridCol w:w="218"/>
      <w:gridCol w:w="218"/>
    </w:tblGrid>
    <w:tr w:rsidR="003522FA" w14:paraId="6A699868" w14:textId="77777777" w:rsidTr="007F56CF">
      <w:tc>
        <w:tcPr>
          <w:tcW w:w="876" w:type="dxa"/>
          <w:tcBorders>
            <w:top w:val="nil"/>
            <w:left w:val="nil"/>
            <w:bottom w:val="nil"/>
            <w:right w:val="nil"/>
          </w:tcBorders>
          <w:vAlign w:val="bottom"/>
        </w:tcPr>
        <w:tbl>
          <w:tblPr>
            <w:tblStyle w:val="Tablaconcuadrculaclara"/>
            <w:tblW w:w="27024" w:type="dxa"/>
            <w:tblLook w:val="04A0" w:firstRow="1" w:lastRow="0" w:firstColumn="1" w:lastColumn="0" w:noHBand="0" w:noVBand="1"/>
          </w:tblPr>
          <w:tblGrid>
            <w:gridCol w:w="1146"/>
            <w:gridCol w:w="2569"/>
            <w:gridCol w:w="1422"/>
            <w:gridCol w:w="11929"/>
            <w:gridCol w:w="9958"/>
          </w:tblGrid>
          <w:tr w:rsidR="004D30C9" w14:paraId="450E23C7" w14:textId="77777777" w:rsidTr="005F0A23">
            <w:tc>
              <w:tcPr>
                <w:tcW w:w="1146" w:type="dxa"/>
                <w:tcBorders>
                  <w:top w:val="nil"/>
                  <w:left w:val="nil"/>
                  <w:bottom w:val="nil"/>
                  <w:right w:val="nil"/>
                </w:tcBorders>
              </w:tcPr>
              <w:p w14:paraId="3CC11D58" w14:textId="77777777" w:rsidR="004D30C9" w:rsidRPr="00FA0A9C" w:rsidRDefault="004D30C9" w:rsidP="003522FA">
                <w:pPr>
                  <w:pStyle w:val="Encabezado"/>
                  <w:rPr>
                    <w:sz w:val="20"/>
                    <w:szCs w:val="20"/>
                  </w:rPr>
                </w:pPr>
                <w:r>
                  <w:rPr>
                    <w:noProof/>
                    <w:lang w:eastAsia="zh-CN"/>
                  </w:rPr>
                  <w:drawing>
                    <wp:inline distT="0" distB="0" distL="0" distR="0" wp14:anchorId="4FE6D098" wp14:editId="64DD34BA">
                      <wp:extent cx="5905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c>
              <w:tcPr>
                <w:tcW w:w="2569" w:type="dxa"/>
                <w:tcBorders>
                  <w:top w:val="nil"/>
                  <w:left w:val="nil"/>
                  <w:bottom w:val="nil"/>
                  <w:right w:val="nil"/>
                </w:tcBorders>
              </w:tcPr>
              <w:p w14:paraId="578F9162" w14:textId="77777777" w:rsidR="004D30C9" w:rsidRDefault="004D30C9" w:rsidP="003522FA">
                <w:pPr>
                  <w:pStyle w:val="Encabezado"/>
                  <w:rPr>
                    <w:sz w:val="20"/>
                    <w:szCs w:val="20"/>
                  </w:rPr>
                </w:pPr>
                <w:r w:rsidRPr="00FA0A9C">
                  <w:rPr>
                    <w:sz w:val="20"/>
                    <w:szCs w:val="20"/>
                  </w:rPr>
                  <w:t>Naturaleza y Tecnología</w:t>
                </w:r>
              </w:p>
              <w:p w14:paraId="39C94354" w14:textId="77777777" w:rsidR="004D30C9" w:rsidRDefault="004D30C9" w:rsidP="003522FA">
                <w:pPr>
                  <w:pStyle w:val="Encabezado"/>
                  <w:rPr>
                    <w:sz w:val="20"/>
                    <w:szCs w:val="20"/>
                  </w:rPr>
                </w:pPr>
                <w:r>
                  <w:rPr>
                    <w:sz w:val="20"/>
                    <w:szCs w:val="20"/>
                  </w:rPr>
                  <w:t>Número Especial</w:t>
                </w:r>
              </w:p>
              <w:p w14:paraId="7928C87A" w14:textId="77777777" w:rsidR="004D30C9" w:rsidRDefault="004D30C9" w:rsidP="004D30C9">
                <w:pPr>
                  <w:pStyle w:val="Encabezado"/>
                  <w:rPr>
                    <w:sz w:val="20"/>
                    <w:szCs w:val="20"/>
                  </w:rPr>
                </w:pPr>
                <w:r>
                  <w:rPr>
                    <w:sz w:val="20"/>
                    <w:szCs w:val="20"/>
                  </w:rPr>
                  <w:t>ISSN 2007-672X</w:t>
                </w:r>
              </w:p>
              <w:p w14:paraId="2C9FDDCB" w14:textId="77777777" w:rsidR="004D30C9" w:rsidRDefault="004D30C9" w:rsidP="004D30C9">
                <w:pPr>
                  <w:pStyle w:val="Encabezado"/>
                  <w:rPr>
                    <w:sz w:val="20"/>
                    <w:szCs w:val="20"/>
                  </w:rPr>
                </w:pPr>
                <w:r>
                  <w:rPr>
                    <w:sz w:val="20"/>
                    <w:szCs w:val="20"/>
                  </w:rPr>
                  <w:t>Universidad de Guanajuato</w:t>
                </w:r>
              </w:p>
            </w:tc>
            <w:tc>
              <w:tcPr>
                <w:tcW w:w="1422" w:type="dxa"/>
                <w:tcBorders>
                  <w:top w:val="nil"/>
                  <w:left w:val="nil"/>
                  <w:bottom w:val="nil"/>
                  <w:right w:val="nil"/>
                </w:tcBorders>
              </w:tcPr>
              <w:p w14:paraId="0C0C76C3" w14:textId="77777777" w:rsidR="004D30C9" w:rsidRDefault="004D30C9" w:rsidP="003522FA">
                <w:pPr>
                  <w:pStyle w:val="Encabezado"/>
                </w:pPr>
              </w:p>
            </w:tc>
            <w:tc>
              <w:tcPr>
                <w:tcW w:w="11929" w:type="dxa"/>
                <w:tcBorders>
                  <w:top w:val="nil"/>
                  <w:left w:val="nil"/>
                  <w:bottom w:val="nil"/>
                  <w:right w:val="nil"/>
                </w:tcBorders>
              </w:tcPr>
              <w:p w14:paraId="5534CB4A" w14:textId="77777777" w:rsidR="004D30C9" w:rsidRPr="005F0A23" w:rsidRDefault="005F0A23" w:rsidP="003522FA">
                <w:pPr>
                  <w:pStyle w:val="Encabezado"/>
                  <w:rPr>
                    <w:b/>
                    <w:sz w:val="20"/>
                    <w:szCs w:val="20"/>
                  </w:rPr>
                </w:pPr>
                <w:r>
                  <w:rPr>
                    <w:sz w:val="20"/>
                    <w:szCs w:val="20"/>
                  </w:rPr>
                  <w:t xml:space="preserve">       </w:t>
                </w:r>
                <w:r w:rsidRPr="005F0A23">
                  <w:rPr>
                    <w:b/>
                    <w:sz w:val="20"/>
                    <w:szCs w:val="20"/>
                  </w:rPr>
                  <w:t>Taller simposio internacional</w:t>
                </w:r>
              </w:p>
              <w:p w14:paraId="6567B56A" w14:textId="77777777" w:rsidR="005F0A23" w:rsidRDefault="005F0A23" w:rsidP="003522FA">
                <w:pPr>
                  <w:pStyle w:val="Encabezado"/>
                  <w:rPr>
                    <w:sz w:val="20"/>
                    <w:szCs w:val="20"/>
                  </w:rPr>
                </w:pPr>
                <w:r>
                  <w:rPr>
                    <w:sz w:val="20"/>
                    <w:szCs w:val="20"/>
                  </w:rPr>
                  <w:t xml:space="preserve">    “ESTRATEGIAS SINTÉTICAS DE </w:t>
                </w:r>
              </w:p>
              <w:p w14:paraId="56A7940D" w14:textId="77777777" w:rsidR="005F0A23" w:rsidRDefault="005F0A23" w:rsidP="003522FA">
                <w:pPr>
                  <w:pStyle w:val="Encabezado"/>
                  <w:rPr>
                    <w:sz w:val="20"/>
                    <w:szCs w:val="20"/>
                  </w:rPr>
                </w:pPr>
                <w:r>
                  <w:rPr>
                    <w:sz w:val="20"/>
                    <w:szCs w:val="20"/>
                  </w:rPr>
                  <w:t xml:space="preserve"> FRONTERA EN QUÍMICA ORGÁNICA”</w:t>
                </w:r>
              </w:p>
              <w:p w14:paraId="75E789D1" w14:textId="77777777" w:rsidR="00BA10B6" w:rsidRPr="00FA0A9C" w:rsidRDefault="00BA10B6" w:rsidP="003522FA">
                <w:pPr>
                  <w:pStyle w:val="Encabezado"/>
                  <w:rPr>
                    <w:sz w:val="20"/>
                    <w:szCs w:val="20"/>
                  </w:rPr>
                </w:pPr>
                <w:r>
                  <w:rPr>
                    <w:sz w:val="20"/>
                    <w:szCs w:val="20"/>
                  </w:rPr>
                  <w:t xml:space="preserve">      MEMORIAS, Noviembre 2022</w:t>
                </w:r>
              </w:p>
            </w:tc>
            <w:tc>
              <w:tcPr>
                <w:tcW w:w="9958" w:type="dxa"/>
                <w:tcBorders>
                  <w:left w:val="nil"/>
                </w:tcBorders>
              </w:tcPr>
              <w:p w14:paraId="4E9F01A0" w14:textId="77777777" w:rsidR="004D30C9" w:rsidRPr="00FA0A9C" w:rsidRDefault="004D30C9" w:rsidP="003522FA">
                <w:pPr>
                  <w:pStyle w:val="Encabezado"/>
                  <w:rPr>
                    <w:sz w:val="20"/>
                    <w:szCs w:val="20"/>
                  </w:rPr>
                </w:pPr>
              </w:p>
            </w:tc>
          </w:tr>
        </w:tbl>
        <w:p w14:paraId="4A7F5C2A" w14:textId="77777777" w:rsidR="003522FA" w:rsidRPr="0034040F" w:rsidRDefault="003522FA" w:rsidP="003522FA">
          <w:pPr>
            <w:pStyle w:val="Encabezado"/>
            <w:rPr>
              <w:sz w:val="20"/>
              <w:szCs w:val="20"/>
              <w:lang w:val="es-MX"/>
            </w:rPr>
          </w:pPr>
        </w:p>
      </w:tc>
      <w:tc>
        <w:tcPr>
          <w:tcW w:w="4882" w:type="dxa"/>
          <w:tcBorders>
            <w:top w:val="nil"/>
            <w:left w:val="nil"/>
            <w:bottom w:val="nil"/>
            <w:right w:val="nil"/>
          </w:tcBorders>
        </w:tcPr>
        <w:p w14:paraId="12FF8D0E" w14:textId="77777777" w:rsidR="003522FA" w:rsidRPr="005F0A23" w:rsidRDefault="003522FA" w:rsidP="003522FA">
          <w:pPr>
            <w:pStyle w:val="Encabezado"/>
            <w:rPr>
              <w:lang w:val="es-MX"/>
            </w:rPr>
          </w:pPr>
        </w:p>
      </w:tc>
      <w:tc>
        <w:tcPr>
          <w:tcW w:w="2880" w:type="dxa"/>
          <w:tcBorders>
            <w:top w:val="nil"/>
            <w:left w:val="nil"/>
            <w:bottom w:val="nil"/>
            <w:right w:val="nil"/>
          </w:tcBorders>
        </w:tcPr>
        <w:p w14:paraId="70D304BC" w14:textId="77777777" w:rsidR="003522FA" w:rsidRDefault="003522FA" w:rsidP="003522FA">
          <w:pPr>
            <w:pStyle w:val="Encabezado"/>
          </w:pPr>
        </w:p>
      </w:tc>
    </w:tr>
  </w:tbl>
  <w:p w14:paraId="7008AE36" w14:textId="77777777" w:rsidR="003522FA" w:rsidRDefault="003522F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F57E" w14:textId="77777777" w:rsidR="004D30C9" w:rsidRDefault="004D30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812"/>
    <w:multiLevelType w:val="hybridMultilevel"/>
    <w:tmpl w:val="A6209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853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FA"/>
    <w:rsid w:val="0000351A"/>
    <w:rsid w:val="0000387F"/>
    <w:rsid w:val="00004495"/>
    <w:rsid w:val="00004BB1"/>
    <w:rsid w:val="00016F25"/>
    <w:rsid w:val="00017A4F"/>
    <w:rsid w:val="00032CA7"/>
    <w:rsid w:val="000419E6"/>
    <w:rsid w:val="000471FB"/>
    <w:rsid w:val="000516BA"/>
    <w:rsid w:val="00051F0D"/>
    <w:rsid w:val="00060534"/>
    <w:rsid w:val="000644D3"/>
    <w:rsid w:val="0007057B"/>
    <w:rsid w:val="00073B3B"/>
    <w:rsid w:val="00074394"/>
    <w:rsid w:val="0007550F"/>
    <w:rsid w:val="00075B41"/>
    <w:rsid w:val="00082209"/>
    <w:rsid w:val="00087251"/>
    <w:rsid w:val="0009105E"/>
    <w:rsid w:val="00091539"/>
    <w:rsid w:val="0009191F"/>
    <w:rsid w:val="00093114"/>
    <w:rsid w:val="000A1208"/>
    <w:rsid w:val="000A35BB"/>
    <w:rsid w:val="000C3642"/>
    <w:rsid w:val="000C49C1"/>
    <w:rsid w:val="000D0AE2"/>
    <w:rsid w:val="000D5F95"/>
    <w:rsid w:val="000F0440"/>
    <w:rsid w:val="00100630"/>
    <w:rsid w:val="001006D6"/>
    <w:rsid w:val="001145AE"/>
    <w:rsid w:val="00117D2F"/>
    <w:rsid w:val="00131086"/>
    <w:rsid w:val="00135FBD"/>
    <w:rsid w:val="00141CDA"/>
    <w:rsid w:val="001436F9"/>
    <w:rsid w:val="00163B18"/>
    <w:rsid w:val="0017050D"/>
    <w:rsid w:val="001709FF"/>
    <w:rsid w:val="00171BC0"/>
    <w:rsid w:val="0017284C"/>
    <w:rsid w:val="00172C69"/>
    <w:rsid w:val="00174318"/>
    <w:rsid w:val="00176C55"/>
    <w:rsid w:val="0018455A"/>
    <w:rsid w:val="0019324C"/>
    <w:rsid w:val="001A3138"/>
    <w:rsid w:val="001A41A1"/>
    <w:rsid w:val="001A7956"/>
    <w:rsid w:val="001B2FC6"/>
    <w:rsid w:val="001B3608"/>
    <w:rsid w:val="001D2743"/>
    <w:rsid w:val="001E4359"/>
    <w:rsid w:val="001E6DE1"/>
    <w:rsid w:val="001E7327"/>
    <w:rsid w:val="001E7951"/>
    <w:rsid w:val="001F7B46"/>
    <w:rsid w:val="002021C8"/>
    <w:rsid w:val="00203061"/>
    <w:rsid w:val="002037A2"/>
    <w:rsid w:val="0020578D"/>
    <w:rsid w:val="00206581"/>
    <w:rsid w:val="00207AE0"/>
    <w:rsid w:val="0021461D"/>
    <w:rsid w:val="00217A1B"/>
    <w:rsid w:val="00233035"/>
    <w:rsid w:val="00235A3C"/>
    <w:rsid w:val="00237245"/>
    <w:rsid w:val="0024169D"/>
    <w:rsid w:val="00242885"/>
    <w:rsid w:val="00245AF1"/>
    <w:rsid w:val="00252E27"/>
    <w:rsid w:val="00257EAD"/>
    <w:rsid w:val="00263A4B"/>
    <w:rsid w:val="00270910"/>
    <w:rsid w:val="00275D19"/>
    <w:rsid w:val="0028007F"/>
    <w:rsid w:val="0028246C"/>
    <w:rsid w:val="002844DB"/>
    <w:rsid w:val="002906FB"/>
    <w:rsid w:val="0029392E"/>
    <w:rsid w:val="00293BF3"/>
    <w:rsid w:val="002976BA"/>
    <w:rsid w:val="002A4AD8"/>
    <w:rsid w:val="002A506F"/>
    <w:rsid w:val="002B7BE1"/>
    <w:rsid w:val="002C33C0"/>
    <w:rsid w:val="002C794E"/>
    <w:rsid w:val="002D3FFD"/>
    <w:rsid w:val="002D40E3"/>
    <w:rsid w:val="002E4D99"/>
    <w:rsid w:val="002E6905"/>
    <w:rsid w:val="002F5779"/>
    <w:rsid w:val="002F5C85"/>
    <w:rsid w:val="00300F51"/>
    <w:rsid w:val="003020BE"/>
    <w:rsid w:val="00305B4A"/>
    <w:rsid w:val="00307B54"/>
    <w:rsid w:val="00313A4A"/>
    <w:rsid w:val="0031600D"/>
    <w:rsid w:val="00321BDA"/>
    <w:rsid w:val="0032345B"/>
    <w:rsid w:val="003267F4"/>
    <w:rsid w:val="00331C14"/>
    <w:rsid w:val="00331F69"/>
    <w:rsid w:val="00337AC2"/>
    <w:rsid w:val="00342FB3"/>
    <w:rsid w:val="0034514A"/>
    <w:rsid w:val="003522FA"/>
    <w:rsid w:val="00352D5C"/>
    <w:rsid w:val="00354709"/>
    <w:rsid w:val="0035499A"/>
    <w:rsid w:val="0036123A"/>
    <w:rsid w:val="0036278A"/>
    <w:rsid w:val="00370B94"/>
    <w:rsid w:val="00376307"/>
    <w:rsid w:val="00377ECB"/>
    <w:rsid w:val="00381262"/>
    <w:rsid w:val="0038195A"/>
    <w:rsid w:val="003826C8"/>
    <w:rsid w:val="003918D1"/>
    <w:rsid w:val="003968BE"/>
    <w:rsid w:val="00396EF3"/>
    <w:rsid w:val="003A2DD6"/>
    <w:rsid w:val="003A432C"/>
    <w:rsid w:val="003A563C"/>
    <w:rsid w:val="003B031D"/>
    <w:rsid w:val="003C3417"/>
    <w:rsid w:val="003C3FFD"/>
    <w:rsid w:val="003D0B3A"/>
    <w:rsid w:val="003E0C3B"/>
    <w:rsid w:val="003F26B3"/>
    <w:rsid w:val="003F619A"/>
    <w:rsid w:val="004030D0"/>
    <w:rsid w:val="00410257"/>
    <w:rsid w:val="004125F3"/>
    <w:rsid w:val="0042353A"/>
    <w:rsid w:val="00426F1C"/>
    <w:rsid w:val="00430207"/>
    <w:rsid w:val="00437305"/>
    <w:rsid w:val="00454A2E"/>
    <w:rsid w:val="00457686"/>
    <w:rsid w:val="00464465"/>
    <w:rsid w:val="00471F8A"/>
    <w:rsid w:val="0048175F"/>
    <w:rsid w:val="00483BAC"/>
    <w:rsid w:val="00485CF6"/>
    <w:rsid w:val="0048685E"/>
    <w:rsid w:val="00490B1E"/>
    <w:rsid w:val="004915E4"/>
    <w:rsid w:val="004A28F7"/>
    <w:rsid w:val="004B02B9"/>
    <w:rsid w:val="004B0777"/>
    <w:rsid w:val="004B2E76"/>
    <w:rsid w:val="004B33BE"/>
    <w:rsid w:val="004C0BD2"/>
    <w:rsid w:val="004D30C9"/>
    <w:rsid w:val="004D41B2"/>
    <w:rsid w:val="004D5AED"/>
    <w:rsid w:val="004E0161"/>
    <w:rsid w:val="004E2329"/>
    <w:rsid w:val="004E2AF2"/>
    <w:rsid w:val="004E4152"/>
    <w:rsid w:val="004E5555"/>
    <w:rsid w:val="004F27DD"/>
    <w:rsid w:val="004F29C5"/>
    <w:rsid w:val="004F59A7"/>
    <w:rsid w:val="00506D98"/>
    <w:rsid w:val="005138E4"/>
    <w:rsid w:val="005158DE"/>
    <w:rsid w:val="00516BE0"/>
    <w:rsid w:val="005176D0"/>
    <w:rsid w:val="00522889"/>
    <w:rsid w:val="005257E7"/>
    <w:rsid w:val="00534075"/>
    <w:rsid w:val="00535F18"/>
    <w:rsid w:val="0054319A"/>
    <w:rsid w:val="00543AF2"/>
    <w:rsid w:val="0054434E"/>
    <w:rsid w:val="00544A33"/>
    <w:rsid w:val="00557E79"/>
    <w:rsid w:val="00566501"/>
    <w:rsid w:val="00571C32"/>
    <w:rsid w:val="00583A62"/>
    <w:rsid w:val="005901C5"/>
    <w:rsid w:val="00591C6E"/>
    <w:rsid w:val="005979BE"/>
    <w:rsid w:val="00597A73"/>
    <w:rsid w:val="005A30C7"/>
    <w:rsid w:val="005A382D"/>
    <w:rsid w:val="005A47B0"/>
    <w:rsid w:val="005A73A2"/>
    <w:rsid w:val="005C0B0F"/>
    <w:rsid w:val="005C459B"/>
    <w:rsid w:val="005C7278"/>
    <w:rsid w:val="005D0FE9"/>
    <w:rsid w:val="005D48CB"/>
    <w:rsid w:val="005D796F"/>
    <w:rsid w:val="005E2624"/>
    <w:rsid w:val="005E2B18"/>
    <w:rsid w:val="005E38B1"/>
    <w:rsid w:val="005F0A23"/>
    <w:rsid w:val="005F1BD5"/>
    <w:rsid w:val="005F2222"/>
    <w:rsid w:val="005F7ADA"/>
    <w:rsid w:val="00600BBB"/>
    <w:rsid w:val="00601FC7"/>
    <w:rsid w:val="00612C19"/>
    <w:rsid w:val="00614084"/>
    <w:rsid w:val="006152B1"/>
    <w:rsid w:val="00615B04"/>
    <w:rsid w:val="006232ED"/>
    <w:rsid w:val="00634201"/>
    <w:rsid w:val="00645FB7"/>
    <w:rsid w:val="00651001"/>
    <w:rsid w:val="00652E6B"/>
    <w:rsid w:val="006541C1"/>
    <w:rsid w:val="006546A5"/>
    <w:rsid w:val="00655D7E"/>
    <w:rsid w:val="0065621E"/>
    <w:rsid w:val="00662922"/>
    <w:rsid w:val="00672226"/>
    <w:rsid w:val="006958EE"/>
    <w:rsid w:val="006A6AB6"/>
    <w:rsid w:val="006B16E1"/>
    <w:rsid w:val="006B58FA"/>
    <w:rsid w:val="006C5964"/>
    <w:rsid w:val="006D1C1F"/>
    <w:rsid w:val="006D59F9"/>
    <w:rsid w:val="006D7F65"/>
    <w:rsid w:val="006E4FBC"/>
    <w:rsid w:val="006E6C2C"/>
    <w:rsid w:val="006E70B2"/>
    <w:rsid w:val="006F3EB9"/>
    <w:rsid w:val="006F50FF"/>
    <w:rsid w:val="006F65AF"/>
    <w:rsid w:val="006F677E"/>
    <w:rsid w:val="00703D4E"/>
    <w:rsid w:val="00705586"/>
    <w:rsid w:val="007068B9"/>
    <w:rsid w:val="00706EB5"/>
    <w:rsid w:val="007112EE"/>
    <w:rsid w:val="00712714"/>
    <w:rsid w:val="00713899"/>
    <w:rsid w:val="00717845"/>
    <w:rsid w:val="00723234"/>
    <w:rsid w:val="00726B33"/>
    <w:rsid w:val="00732F8F"/>
    <w:rsid w:val="00733E7D"/>
    <w:rsid w:val="007358F3"/>
    <w:rsid w:val="00736CFD"/>
    <w:rsid w:val="00737AA1"/>
    <w:rsid w:val="00740911"/>
    <w:rsid w:val="0074340E"/>
    <w:rsid w:val="00747A26"/>
    <w:rsid w:val="00750C03"/>
    <w:rsid w:val="00753543"/>
    <w:rsid w:val="00760527"/>
    <w:rsid w:val="00766BDD"/>
    <w:rsid w:val="00767040"/>
    <w:rsid w:val="00767E11"/>
    <w:rsid w:val="00773805"/>
    <w:rsid w:val="007779A6"/>
    <w:rsid w:val="00792C9C"/>
    <w:rsid w:val="00794747"/>
    <w:rsid w:val="007A14B2"/>
    <w:rsid w:val="007A195D"/>
    <w:rsid w:val="007A73C4"/>
    <w:rsid w:val="007B174C"/>
    <w:rsid w:val="007B6AAA"/>
    <w:rsid w:val="007B6DC1"/>
    <w:rsid w:val="007C13F8"/>
    <w:rsid w:val="007D3208"/>
    <w:rsid w:val="007D5E00"/>
    <w:rsid w:val="007D6A34"/>
    <w:rsid w:val="007D789A"/>
    <w:rsid w:val="007F2BF4"/>
    <w:rsid w:val="007F3066"/>
    <w:rsid w:val="007F7016"/>
    <w:rsid w:val="007F7937"/>
    <w:rsid w:val="008120A9"/>
    <w:rsid w:val="0081235D"/>
    <w:rsid w:val="00812CA3"/>
    <w:rsid w:val="00813440"/>
    <w:rsid w:val="00814453"/>
    <w:rsid w:val="008172AC"/>
    <w:rsid w:val="008173F6"/>
    <w:rsid w:val="00817F99"/>
    <w:rsid w:val="0082081F"/>
    <w:rsid w:val="00821B5E"/>
    <w:rsid w:val="00825114"/>
    <w:rsid w:val="00836172"/>
    <w:rsid w:val="00845701"/>
    <w:rsid w:val="00845F9D"/>
    <w:rsid w:val="008505A8"/>
    <w:rsid w:val="00851E67"/>
    <w:rsid w:val="00853BDF"/>
    <w:rsid w:val="00855CB9"/>
    <w:rsid w:val="00860362"/>
    <w:rsid w:val="008615B5"/>
    <w:rsid w:val="00863892"/>
    <w:rsid w:val="008718D4"/>
    <w:rsid w:val="00876227"/>
    <w:rsid w:val="00890980"/>
    <w:rsid w:val="00890C5E"/>
    <w:rsid w:val="00893180"/>
    <w:rsid w:val="008A291E"/>
    <w:rsid w:val="008A61C7"/>
    <w:rsid w:val="008B1A95"/>
    <w:rsid w:val="008B2745"/>
    <w:rsid w:val="008B4AA8"/>
    <w:rsid w:val="008B7EBC"/>
    <w:rsid w:val="008C55B9"/>
    <w:rsid w:val="008C5D7C"/>
    <w:rsid w:val="008D0826"/>
    <w:rsid w:val="008D0B2B"/>
    <w:rsid w:val="008D1533"/>
    <w:rsid w:val="008D296A"/>
    <w:rsid w:val="008F09E6"/>
    <w:rsid w:val="008F28DD"/>
    <w:rsid w:val="008F3420"/>
    <w:rsid w:val="008F5911"/>
    <w:rsid w:val="008F60E9"/>
    <w:rsid w:val="00916E49"/>
    <w:rsid w:val="00917A38"/>
    <w:rsid w:val="0092056A"/>
    <w:rsid w:val="00921797"/>
    <w:rsid w:val="00922C22"/>
    <w:rsid w:val="009238E6"/>
    <w:rsid w:val="00924BA5"/>
    <w:rsid w:val="00927434"/>
    <w:rsid w:val="00931E43"/>
    <w:rsid w:val="009360CD"/>
    <w:rsid w:val="00936CE2"/>
    <w:rsid w:val="00942FF4"/>
    <w:rsid w:val="009458BA"/>
    <w:rsid w:val="00950352"/>
    <w:rsid w:val="00953799"/>
    <w:rsid w:val="0096011A"/>
    <w:rsid w:val="00967329"/>
    <w:rsid w:val="00971534"/>
    <w:rsid w:val="00974F1A"/>
    <w:rsid w:val="00977B72"/>
    <w:rsid w:val="0098171F"/>
    <w:rsid w:val="00986619"/>
    <w:rsid w:val="0099364E"/>
    <w:rsid w:val="009959AC"/>
    <w:rsid w:val="009A125A"/>
    <w:rsid w:val="009A2ECC"/>
    <w:rsid w:val="009A36C8"/>
    <w:rsid w:val="009A481A"/>
    <w:rsid w:val="009B01D2"/>
    <w:rsid w:val="009C04BB"/>
    <w:rsid w:val="009C3321"/>
    <w:rsid w:val="009C3CED"/>
    <w:rsid w:val="009C3D7D"/>
    <w:rsid w:val="009D1FA1"/>
    <w:rsid w:val="009D6E4C"/>
    <w:rsid w:val="009F7B79"/>
    <w:rsid w:val="00A05477"/>
    <w:rsid w:val="00A060A3"/>
    <w:rsid w:val="00A15A1A"/>
    <w:rsid w:val="00A16B03"/>
    <w:rsid w:val="00A1702B"/>
    <w:rsid w:val="00A20631"/>
    <w:rsid w:val="00A213ED"/>
    <w:rsid w:val="00A22F43"/>
    <w:rsid w:val="00A27714"/>
    <w:rsid w:val="00A31A60"/>
    <w:rsid w:val="00A32404"/>
    <w:rsid w:val="00A3459F"/>
    <w:rsid w:val="00A462CA"/>
    <w:rsid w:val="00A50B06"/>
    <w:rsid w:val="00A512BF"/>
    <w:rsid w:val="00A51704"/>
    <w:rsid w:val="00A54776"/>
    <w:rsid w:val="00A56915"/>
    <w:rsid w:val="00A5799C"/>
    <w:rsid w:val="00A60F18"/>
    <w:rsid w:val="00A64889"/>
    <w:rsid w:val="00A70D91"/>
    <w:rsid w:val="00A72FC0"/>
    <w:rsid w:val="00A74DFC"/>
    <w:rsid w:val="00A815E8"/>
    <w:rsid w:val="00A84F2F"/>
    <w:rsid w:val="00A85CB6"/>
    <w:rsid w:val="00A90999"/>
    <w:rsid w:val="00AA1809"/>
    <w:rsid w:val="00AA1E20"/>
    <w:rsid w:val="00AA1F00"/>
    <w:rsid w:val="00AA4384"/>
    <w:rsid w:val="00AB5E53"/>
    <w:rsid w:val="00AB75D2"/>
    <w:rsid w:val="00AB76C9"/>
    <w:rsid w:val="00AB7E36"/>
    <w:rsid w:val="00AD197C"/>
    <w:rsid w:val="00AD697F"/>
    <w:rsid w:val="00AE6A2A"/>
    <w:rsid w:val="00B005FB"/>
    <w:rsid w:val="00B00DEA"/>
    <w:rsid w:val="00B015BA"/>
    <w:rsid w:val="00B04D0F"/>
    <w:rsid w:val="00B077C4"/>
    <w:rsid w:val="00B10B6A"/>
    <w:rsid w:val="00B1222C"/>
    <w:rsid w:val="00B16EB5"/>
    <w:rsid w:val="00B22B41"/>
    <w:rsid w:val="00B2369E"/>
    <w:rsid w:val="00B244D8"/>
    <w:rsid w:val="00B34FF5"/>
    <w:rsid w:val="00B4266B"/>
    <w:rsid w:val="00B4326A"/>
    <w:rsid w:val="00B45724"/>
    <w:rsid w:val="00B467A7"/>
    <w:rsid w:val="00B46F7E"/>
    <w:rsid w:val="00B513AB"/>
    <w:rsid w:val="00B519F4"/>
    <w:rsid w:val="00B528C1"/>
    <w:rsid w:val="00B55C07"/>
    <w:rsid w:val="00B64548"/>
    <w:rsid w:val="00B6574C"/>
    <w:rsid w:val="00B72171"/>
    <w:rsid w:val="00B750D9"/>
    <w:rsid w:val="00B77166"/>
    <w:rsid w:val="00B779FB"/>
    <w:rsid w:val="00B83389"/>
    <w:rsid w:val="00B97257"/>
    <w:rsid w:val="00BA0044"/>
    <w:rsid w:val="00BA10B6"/>
    <w:rsid w:val="00BA5995"/>
    <w:rsid w:val="00BA60D6"/>
    <w:rsid w:val="00BB038D"/>
    <w:rsid w:val="00BB1B3B"/>
    <w:rsid w:val="00BB1DCB"/>
    <w:rsid w:val="00BB675C"/>
    <w:rsid w:val="00BB6BFD"/>
    <w:rsid w:val="00BB7D34"/>
    <w:rsid w:val="00BC31EE"/>
    <w:rsid w:val="00BC3D91"/>
    <w:rsid w:val="00BD280E"/>
    <w:rsid w:val="00BE21A6"/>
    <w:rsid w:val="00BE4B6F"/>
    <w:rsid w:val="00BE7632"/>
    <w:rsid w:val="00BF045A"/>
    <w:rsid w:val="00BF2868"/>
    <w:rsid w:val="00C00819"/>
    <w:rsid w:val="00C02E8C"/>
    <w:rsid w:val="00C045A9"/>
    <w:rsid w:val="00C12127"/>
    <w:rsid w:val="00C24247"/>
    <w:rsid w:val="00C25006"/>
    <w:rsid w:val="00C4031A"/>
    <w:rsid w:val="00C4351D"/>
    <w:rsid w:val="00C46440"/>
    <w:rsid w:val="00C5125D"/>
    <w:rsid w:val="00C5144B"/>
    <w:rsid w:val="00C52AAC"/>
    <w:rsid w:val="00C56F25"/>
    <w:rsid w:val="00C67383"/>
    <w:rsid w:val="00C7425A"/>
    <w:rsid w:val="00C76659"/>
    <w:rsid w:val="00C778A7"/>
    <w:rsid w:val="00C82F80"/>
    <w:rsid w:val="00C866BF"/>
    <w:rsid w:val="00C86936"/>
    <w:rsid w:val="00C96CE6"/>
    <w:rsid w:val="00CA2318"/>
    <w:rsid w:val="00CA6363"/>
    <w:rsid w:val="00CA65D8"/>
    <w:rsid w:val="00CB13E5"/>
    <w:rsid w:val="00CB47A9"/>
    <w:rsid w:val="00CC0642"/>
    <w:rsid w:val="00CD4BE8"/>
    <w:rsid w:val="00CE098A"/>
    <w:rsid w:val="00CE4B67"/>
    <w:rsid w:val="00CF1503"/>
    <w:rsid w:val="00CF66A0"/>
    <w:rsid w:val="00D01851"/>
    <w:rsid w:val="00D01C8A"/>
    <w:rsid w:val="00D0516C"/>
    <w:rsid w:val="00D06F57"/>
    <w:rsid w:val="00D06F7B"/>
    <w:rsid w:val="00D261FC"/>
    <w:rsid w:val="00D31DE6"/>
    <w:rsid w:val="00D333C4"/>
    <w:rsid w:val="00D34988"/>
    <w:rsid w:val="00D35E99"/>
    <w:rsid w:val="00D36C0E"/>
    <w:rsid w:val="00D37820"/>
    <w:rsid w:val="00D40FA9"/>
    <w:rsid w:val="00D42167"/>
    <w:rsid w:val="00D424A6"/>
    <w:rsid w:val="00D44256"/>
    <w:rsid w:val="00D468EC"/>
    <w:rsid w:val="00D46D16"/>
    <w:rsid w:val="00D47C42"/>
    <w:rsid w:val="00D506A9"/>
    <w:rsid w:val="00D530F2"/>
    <w:rsid w:val="00D56D9D"/>
    <w:rsid w:val="00D56F92"/>
    <w:rsid w:val="00D57950"/>
    <w:rsid w:val="00D6555E"/>
    <w:rsid w:val="00D670C5"/>
    <w:rsid w:val="00D729AC"/>
    <w:rsid w:val="00D75349"/>
    <w:rsid w:val="00D75DC7"/>
    <w:rsid w:val="00D8184B"/>
    <w:rsid w:val="00D83DBF"/>
    <w:rsid w:val="00D90AAD"/>
    <w:rsid w:val="00D91455"/>
    <w:rsid w:val="00D93EB7"/>
    <w:rsid w:val="00D941FE"/>
    <w:rsid w:val="00D96459"/>
    <w:rsid w:val="00D9721B"/>
    <w:rsid w:val="00DA00A0"/>
    <w:rsid w:val="00DA09B1"/>
    <w:rsid w:val="00DA3A35"/>
    <w:rsid w:val="00DA493A"/>
    <w:rsid w:val="00DA4BDE"/>
    <w:rsid w:val="00DA550F"/>
    <w:rsid w:val="00DA70B4"/>
    <w:rsid w:val="00DA7CE8"/>
    <w:rsid w:val="00DB1216"/>
    <w:rsid w:val="00DB266C"/>
    <w:rsid w:val="00DB2C1F"/>
    <w:rsid w:val="00DB5EE6"/>
    <w:rsid w:val="00DC3225"/>
    <w:rsid w:val="00DD1F97"/>
    <w:rsid w:val="00DD6C04"/>
    <w:rsid w:val="00DE1C77"/>
    <w:rsid w:val="00DE4B5C"/>
    <w:rsid w:val="00DE5A4F"/>
    <w:rsid w:val="00DE680C"/>
    <w:rsid w:val="00DF026D"/>
    <w:rsid w:val="00DF53D6"/>
    <w:rsid w:val="00E04CA4"/>
    <w:rsid w:val="00E13A9E"/>
    <w:rsid w:val="00E16053"/>
    <w:rsid w:val="00E20DEF"/>
    <w:rsid w:val="00E21E01"/>
    <w:rsid w:val="00E22449"/>
    <w:rsid w:val="00E24ADF"/>
    <w:rsid w:val="00E24B70"/>
    <w:rsid w:val="00E25EFD"/>
    <w:rsid w:val="00E26037"/>
    <w:rsid w:val="00E40653"/>
    <w:rsid w:val="00E50382"/>
    <w:rsid w:val="00E53D11"/>
    <w:rsid w:val="00E56516"/>
    <w:rsid w:val="00E64D15"/>
    <w:rsid w:val="00E75C12"/>
    <w:rsid w:val="00E762EC"/>
    <w:rsid w:val="00E807B4"/>
    <w:rsid w:val="00EB0C06"/>
    <w:rsid w:val="00EB2920"/>
    <w:rsid w:val="00EB6579"/>
    <w:rsid w:val="00EB6EAF"/>
    <w:rsid w:val="00EC02A0"/>
    <w:rsid w:val="00EC12D0"/>
    <w:rsid w:val="00EC4C8F"/>
    <w:rsid w:val="00ED3F5C"/>
    <w:rsid w:val="00ED6557"/>
    <w:rsid w:val="00EE1BBA"/>
    <w:rsid w:val="00EE4CC7"/>
    <w:rsid w:val="00EE7222"/>
    <w:rsid w:val="00EF159D"/>
    <w:rsid w:val="00EF18FC"/>
    <w:rsid w:val="00EF7A38"/>
    <w:rsid w:val="00F0257C"/>
    <w:rsid w:val="00F04680"/>
    <w:rsid w:val="00F06198"/>
    <w:rsid w:val="00F07EEB"/>
    <w:rsid w:val="00F1193C"/>
    <w:rsid w:val="00F154F8"/>
    <w:rsid w:val="00F15863"/>
    <w:rsid w:val="00F20779"/>
    <w:rsid w:val="00F22798"/>
    <w:rsid w:val="00F22B05"/>
    <w:rsid w:val="00F26BCA"/>
    <w:rsid w:val="00F30844"/>
    <w:rsid w:val="00F30E3C"/>
    <w:rsid w:val="00F427B4"/>
    <w:rsid w:val="00F618E1"/>
    <w:rsid w:val="00F64EC3"/>
    <w:rsid w:val="00F704C7"/>
    <w:rsid w:val="00F70A67"/>
    <w:rsid w:val="00F72571"/>
    <w:rsid w:val="00F734D3"/>
    <w:rsid w:val="00F73AF1"/>
    <w:rsid w:val="00F82C4E"/>
    <w:rsid w:val="00F86614"/>
    <w:rsid w:val="00FA1E90"/>
    <w:rsid w:val="00FA4107"/>
    <w:rsid w:val="00FA4F15"/>
    <w:rsid w:val="00FA6A6C"/>
    <w:rsid w:val="00FB31C5"/>
    <w:rsid w:val="00FC31CA"/>
    <w:rsid w:val="00FC587B"/>
    <w:rsid w:val="00FC6221"/>
    <w:rsid w:val="00FD1C77"/>
    <w:rsid w:val="00FD4139"/>
    <w:rsid w:val="00FD741B"/>
    <w:rsid w:val="00FE1218"/>
    <w:rsid w:val="00FE3F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694B"/>
  <w15:chartTrackingRefBased/>
  <w15:docId w15:val="{46C36919-1543-41FB-98AF-F613DA5F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2FA"/>
  </w:style>
  <w:style w:type="paragraph" w:styleId="Piedepgina">
    <w:name w:val="footer"/>
    <w:basedOn w:val="Normal"/>
    <w:link w:val="PiedepginaCar"/>
    <w:uiPriority w:val="99"/>
    <w:unhideWhenUsed/>
    <w:rsid w:val="00352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2FA"/>
  </w:style>
  <w:style w:type="table" w:styleId="Tablaconcuadrcula">
    <w:name w:val="Table Grid"/>
    <w:basedOn w:val="Tablanormal"/>
    <w:uiPriority w:val="59"/>
    <w:rsid w:val="003522FA"/>
    <w:pPr>
      <w:spacing w:after="0" w:line="240" w:lineRule="auto"/>
    </w:pPr>
    <w:rPr>
      <w:rFonts w:ascii="Times New Roman" w:hAnsi="Times New Roman"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D30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6541C1"/>
    <w:pPr>
      <w:spacing w:after="0" w:line="240" w:lineRule="auto"/>
      <w:ind w:right="964"/>
    </w:pPr>
    <w:rPr>
      <w:rFonts w:eastAsiaTheme="minorHAnsi"/>
      <w:sz w:val="16"/>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AB75D2"/>
    <w:pPr>
      <w:ind w:left="720"/>
      <w:contextualSpacing/>
    </w:pPr>
  </w:style>
  <w:style w:type="character" w:customStyle="1" w:styleId="ReferenciasCar">
    <w:name w:val="Referencias Car"/>
    <w:link w:val="Referencias"/>
    <w:locked/>
    <w:rsid w:val="00AB75D2"/>
    <w:rPr>
      <w:rFonts w:ascii="Arial Narrow" w:eastAsia="STKaiti" w:hAnsi="Arial Narrow"/>
      <w:iCs/>
      <w:sz w:val="18"/>
      <w:lang w:val="en-US" w:eastAsia="en-US"/>
    </w:rPr>
  </w:style>
  <w:style w:type="paragraph" w:customStyle="1" w:styleId="Referencias">
    <w:name w:val="Referencias"/>
    <w:basedOn w:val="Textodebloque"/>
    <w:link w:val="ReferenciasCar"/>
    <w:qFormat/>
    <w:rsid w:val="00AB75D2"/>
    <w:pPr>
      <w:pBdr>
        <w:top w:val="none" w:sz="0" w:space="0" w:color="auto"/>
        <w:left w:val="none" w:sz="0" w:space="0" w:color="auto"/>
        <w:bottom w:val="none" w:sz="0" w:space="0" w:color="auto"/>
        <w:right w:val="none" w:sz="0" w:space="0" w:color="auto"/>
      </w:pBdr>
      <w:spacing w:before="300" w:after="240" w:line="249" w:lineRule="auto"/>
      <w:ind w:left="0" w:right="0"/>
      <w:contextualSpacing/>
      <w:jc w:val="both"/>
    </w:pPr>
    <w:rPr>
      <w:rFonts w:ascii="Arial Narrow" w:eastAsia="STKaiti" w:hAnsi="Arial Narrow"/>
      <w:i w:val="0"/>
      <w:color w:val="auto"/>
      <w:sz w:val="18"/>
      <w:lang w:val="en-US" w:eastAsia="en-US"/>
    </w:rPr>
  </w:style>
  <w:style w:type="character" w:customStyle="1" w:styleId="PIEDEFIGURACar">
    <w:name w:val="PIE DE FIGURA Car"/>
    <w:link w:val="PIEDEFIGURA"/>
    <w:locked/>
    <w:rsid w:val="00AB75D2"/>
    <w:rPr>
      <w:rFonts w:ascii="Arial Narrow" w:eastAsia="Times New Roman" w:hAnsi="Arial Narrow" w:cs="Times New Roman"/>
      <w:b/>
      <w:color w:val="003366"/>
      <w:sz w:val="18"/>
      <w:lang w:eastAsia="en-US"/>
    </w:rPr>
  </w:style>
  <w:style w:type="paragraph" w:customStyle="1" w:styleId="PIEDEFIGURA">
    <w:name w:val="PIE DE FIGURA"/>
    <w:basedOn w:val="Normal"/>
    <w:link w:val="PIEDEFIGURACar"/>
    <w:qFormat/>
    <w:rsid w:val="00AB75D2"/>
    <w:pPr>
      <w:spacing w:after="0" w:line="240" w:lineRule="atLeast"/>
    </w:pPr>
    <w:rPr>
      <w:rFonts w:ascii="Arial Narrow" w:eastAsia="Times New Roman" w:hAnsi="Arial Narrow" w:cs="Times New Roman"/>
      <w:b/>
      <w:color w:val="003366"/>
      <w:sz w:val="18"/>
      <w:lang w:eastAsia="en-US"/>
    </w:rPr>
  </w:style>
  <w:style w:type="paragraph" w:styleId="Textodebloque">
    <w:name w:val="Block Text"/>
    <w:basedOn w:val="Normal"/>
    <w:uiPriority w:val="99"/>
    <w:semiHidden/>
    <w:unhideWhenUsed/>
    <w:rsid w:val="00AB75D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character" w:customStyle="1" w:styleId="TextodetablaCar">
    <w:name w:val="Texto de tabla Car"/>
    <w:link w:val="Textodetabla"/>
    <w:locked/>
    <w:rsid w:val="00773805"/>
    <w:rPr>
      <w:rFonts w:ascii="Arial Narrow" w:eastAsia="Times New Roman" w:hAnsi="Arial Narrow" w:cs="Times New Roman"/>
      <w:sz w:val="18"/>
      <w:lang w:val="es-ES" w:eastAsia="en-US"/>
    </w:rPr>
  </w:style>
  <w:style w:type="paragraph" w:customStyle="1" w:styleId="Textodetabla">
    <w:name w:val="Texto de tabla"/>
    <w:basedOn w:val="Normal"/>
    <w:link w:val="TextodetablaCar"/>
    <w:qFormat/>
    <w:rsid w:val="00773805"/>
    <w:pPr>
      <w:framePr w:hSpace="141" w:wrap="around" w:vAnchor="text" w:hAnchor="margin" w:y="121"/>
      <w:spacing w:before="120" w:after="120" w:line="240" w:lineRule="auto"/>
      <w:jc w:val="both"/>
    </w:pPr>
    <w:rPr>
      <w:rFonts w:ascii="Arial Narrow" w:eastAsia="Times New Roman" w:hAnsi="Arial Narrow" w:cs="Times New Roman"/>
      <w:sz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5948">
      <w:bodyDiv w:val="1"/>
      <w:marLeft w:val="0"/>
      <w:marRight w:val="0"/>
      <w:marTop w:val="0"/>
      <w:marBottom w:val="0"/>
      <w:divBdr>
        <w:top w:val="none" w:sz="0" w:space="0" w:color="auto"/>
        <w:left w:val="none" w:sz="0" w:space="0" w:color="auto"/>
        <w:bottom w:val="none" w:sz="0" w:space="0" w:color="auto"/>
        <w:right w:val="none" w:sz="0" w:space="0" w:color="auto"/>
      </w:divBdr>
    </w:div>
    <w:div w:id="15674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8D05-7DD2-47D3-B2E8-0E559F65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2597</Words>
  <Characters>14284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Cesar Rogelio Solorio Alvarado</cp:lastModifiedBy>
  <cp:revision>5</cp:revision>
  <dcterms:created xsi:type="dcterms:W3CDTF">2022-11-03T17:49:00Z</dcterms:created>
  <dcterms:modified xsi:type="dcterms:W3CDTF">2022-11-09T18:41:00Z</dcterms:modified>
</cp:coreProperties>
</file>