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3841A" w14:textId="00CAC090" w:rsidR="006541C1" w:rsidRPr="00EC464A" w:rsidRDefault="00EC464A" w:rsidP="00D26A49">
      <w:pPr>
        <w:jc w:val="center"/>
        <w:rPr>
          <w:b/>
        </w:rPr>
      </w:pPr>
      <w:r w:rsidRPr="00D26A49">
        <w:rPr>
          <w:rFonts w:ascii="Times New Roman" w:hAnsi="Times New Roman" w:cs="Times New Roman"/>
          <w:b/>
        </w:rPr>
        <w:t>MONITOREO EN EL PERFIL HEPÁTICO EN PACIENTES POST</w:t>
      </w:r>
      <w:r w:rsidR="007028C9">
        <w:rPr>
          <w:rFonts w:ascii="Times New Roman" w:hAnsi="Times New Roman" w:cs="Times New Roman"/>
          <w:b/>
        </w:rPr>
        <w:t>-</w:t>
      </w:r>
      <w:r w:rsidRPr="00D26A49">
        <w:rPr>
          <w:rFonts w:ascii="Times New Roman" w:hAnsi="Times New Roman" w:cs="Times New Roman"/>
          <w:b/>
        </w:rPr>
        <w:t>COVID</w:t>
      </w:r>
      <w:r w:rsidR="007028C9">
        <w:rPr>
          <w:rFonts w:ascii="Times New Roman" w:hAnsi="Times New Roman" w:cs="Times New Roman"/>
          <w:b/>
        </w:rPr>
        <w:t>-19</w:t>
      </w:r>
      <w:r w:rsidRPr="00D26A49">
        <w:rPr>
          <w:rFonts w:ascii="Times New Roman" w:hAnsi="Times New Roman" w:cs="Times New Roman"/>
          <w:b/>
        </w:rPr>
        <w:t xml:space="preserve"> </w:t>
      </w:r>
    </w:p>
    <w:p w14:paraId="125CD070" w14:textId="710BB9FC" w:rsidR="006541C1" w:rsidRDefault="004E0B9C" w:rsidP="00D26A49">
      <w:pPr>
        <w:spacing w:line="240" w:lineRule="auto"/>
        <w:ind w:right="51"/>
        <w:jc w:val="center"/>
        <w:rPr>
          <w:rFonts w:ascii="Times New Roman" w:hAnsi="Times New Roman" w:cs="Times New Roman"/>
        </w:rPr>
      </w:pPr>
      <w:r>
        <w:rPr>
          <w:rFonts w:ascii="Times New Roman" w:hAnsi="Times New Roman" w:cs="Times New Roman"/>
        </w:rPr>
        <w:t>Kevin Mondragón Hernández</w:t>
      </w:r>
      <w:r w:rsidR="006541C1" w:rsidRPr="006A2C46">
        <w:rPr>
          <w:rFonts w:ascii="Times New Roman" w:hAnsi="Times New Roman" w:cs="Times New Roman"/>
        </w:rPr>
        <w:t xml:space="preserve"> </w:t>
      </w:r>
      <w:r>
        <w:rPr>
          <w:rFonts w:ascii="Times New Roman" w:hAnsi="Times New Roman" w:cs="Times New Roman"/>
          <w:vertAlign w:val="superscript"/>
        </w:rPr>
        <w:t>a</w:t>
      </w:r>
      <w:r>
        <w:rPr>
          <w:rFonts w:ascii="Times New Roman" w:hAnsi="Times New Roman" w:cs="Times New Roman"/>
        </w:rPr>
        <w:t>, José Ángel Millán Cortés</w:t>
      </w:r>
      <w:r w:rsidR="006541C1" w:rsidRPr="006A2C46">
        <w:rPr>
          <w:rFonts w:ascii="Times New Roman" w:hAnsi="Times New Roman" w:cs="Times New Roman"/>
        </w:rPr>
        <w:t xml:space="preserve"> </w:t>
      </w:r>
      <w:r w:rsidR="00D26A49">
        <w:rPr>
          <w:rFonts w:ascii="Times New Roman" w:hAnsi="Times New Roman" w:cs="Times New Roman"/>
          <w:vertAlign w:val="superscript"/>
        </w:rPr>
        <w:t>a</w:t>
      </w:r>
      <w:r>
        <w:rPr>
          <w:rFonts w:ascii="Times New Roman" w:hAnsi="Times New Roman" w:cs="Times New Roman"/>
        </w:rPr>
        <w:t xml:space="preserve">, Rafael Ortiz Alvarado </w:t>
      </w:r>
      <w:r w:rsidR="00D26A49">
        <w:rPr>
          <w:rFonts w:ascii="Times New Roman" w:hAnsi="Times New Roman" w:cs="Times New Roman"/>
          <w:vertAlign w:val="superscript"/>
        </w:rPr>
        <w:t>a</w:t>
      </w:r>
      <w:r>
        <w:rPr>
          <w:rFonts w:ascii="Times New Roman" w:hAnsi="Times New Roman" w:cs="Times New Roman"/>
        </w:rPr>
        <w:t xml:space="preserve">, Lucia Matilde Nava Barrios </w:t>
      </w:r>
      <w:r w:rsidR="00D26A49">
        <w:rPr>
          <w:rFonts w:ascii="Times New Roman" w:hAnsi="Times New Roman" w:cs="Times New Roman"/>
          <w:vertAlign w:val="superscript"/>
        </w:rPr>
        <w:t>a</w:t>
      </w:r>
      <w:r>
        <w:rPr>
          <w:rFonts w:ascii="Times New Roman" w:hAnsi="Times New Roman" w:cs="Times New Roman"/>
        </w:rPr>
        <w:t>.</w:t>
      </w:r>
      <w:r w:rsidR="00D26A49">
        <w:rPr>
          <w:rFonts w:ascii="Times New Roman" w:hAnsi="Times New Roman" w:cs="Times New Roman"/>
          <w:vertAlign w:val="superscript"/>
        </w:rPr>
        <w:t xml:space="preserve"> </w:t>
      </w:r>
      <w:r w:rsidR="00D26A49">
        <w:rPr>
          <w:rFonts w:ascii="Times New Roman" w:hAnsi="Times New Roman" w:cs="Times New Roman"/>
        </w:rPr>
        <w:t xml:space="preserve"> Facultad de Químico Famacobiología, Universidad Michocana de San Nicolás de Hidalgo. Calle Tzintzuntzan No. 173, Colonia, Matamoros, C.P. 58240.</w:t>
      </w:r>
    </w:p>
    <w:p w14:paraId="75ABF869" w14:textId="2465AABF" w:rsidR="006541C1" w:rsidRPr="00D26A49" w:rsidRDefault="00000000" w:rsidP="00D26A49">
      <w:pPr>
        <w:spacing w:line="240" w:lineRule="auto"/>
        <w:ind w:right="51"/>
        <w:jc w:val="center"/>
        <w:rPr>
          <w:rFonts w:ascii="Times New Roman" w:hAnsi="Times New Roman" w:cs="Times New Roman"/>
        </w:rPr>
      </w:pPr>
      <w:hyperlink r:id="rId7" w:history="1">
        <w:r w:rsidR="00D26A49" w:rsidRPr="00D26A49">
          <w:rPr>
            <w:rStyle w:val="Hipervnculo"/>
            <w:rFonts w:ascii="Times New Roman" w:hAnsi="Times New Roman" w:cs="Times New Roman"/>
            <w:shd w:val="clear" w:color="auto" w:fill="FFFFFF"/>
          </w:rPr>
          <w:t>1432027k@umich.mx</w:t>
        </w:r>
      </w:hyperlink>
      <w:r w:rsidR="00D26A49" w:rsidRPr="00D26A49">
        <w:rPr>
          <w:rFonts w:ascii="Times New Roman" w:hAnsi="Times New Roman" w:cs="Times New Roman"/>
          <w:color w:val="5E5E5E"/>
          <w:shd w:val="clear" w:color="auto" w:fill="FFFFFF"/>
        </w:rPr>
        <w:t xml:space="preserve">            </w:t>
      </w:r>
      <w:hyperlink r:id="rId8" w:history="1">
        <w:r w:rsidR="00D26A49" w:rsidRPr="00D26A49">
          <w:rPr>
            <w:rStyle w:val="Hipervnculo"/>
            <w:rFonts w:ascii="Times New Roman" w:hAnsi="Times New Roman" w:cs="Times New Roman"/>
            <w:shd w:val="clear" w:color="auto" w:fill="FFFFFF"/>
          </w:rPr>
          <w:t>rafael.ortiz@umich.mx</w:t>
        </w:r>
      </w:hyperlink>
      <w:r w:rsidR="00D26A49" w:rsidRPr="00D26A49">
        <w:rPr>
          <w:rFonts w:ascii="Times New Roman" w:hAnsi="Times New Roman" w:cs="Times New Roman"/>
          <w:color w:val="5E5E5E"/>
          <w:shd w:val="clear" w:color="auto" w:fill="FFFFFF"/>
        </w:rPr>
        <w:t xml:space="preserve"> </w:t>
      </w:r>
    </w:p>
    <w:p w14:paraId="6165C369" w14:textId="77777777" w:rsidR="006541C1" w:rsidRPr="006A2C46" w:rsidRDefault="006541C1" w:rsidP="006541C1">
      <w:pPr>
        <w:spacing w:line="360" w:lineRule="auto"/>
        <w:ind w:right="49"/>
        <w:jc w:val="both"/>
        <w:rPr>
          <w:rFonts w:ascii="Times New Roman" w:hAnsi="Times New Roman" w:cs="Times New Roman"/>
          <w:b/>
          <w:bCs/>
        </w:rPr>
      </w:pPr>
      <w:r w:rsidRPr="006A2C46">
        <w:rPr>
          <w:rFonts w:ascii="Times New Roman" w:hAnsi="Times New Roman" w:cs="Times New Roman"/>
          <w:b/>
          <w:bCs/>
        </w:rPr>
        <w:t xml:space="preserve">Resumen </w:t>
      </w:r>
    </w:p>
    <w:p w14:paraId="15D64362" w14:textId="77777777" w:rsidR="00EC464A" w:rsidRPr="00EC464A" w:rsidRDefault="00EC464A" w:rsidP="00EC464A">
      <w:pPr>
        <w:jc w:val="both"/>
        <w:rPr>
          <w:rFonts w:ascii="Times New Roman" w:hAnsi="Times New Roman" w:cs="Times New Roman"/>
          <w:sz w:val="24"/>
          <w:szCs w:val="24"/>
        </w:rPr>
      </w:pPr>
      <w:r w:rsidRPr="00EC464A">
        <w:rPr>
          <w:rFonts w:ascii="Times New Roman" w:hAnsi="Times New Roman" w:cs="Times New Roman"/>
          <w:szCs w:val="24"/>
        </w:rPr>
        <w:t xml:space="preserve">La pandemia provocada por el agente de tipo viral SARS-CoV-2, ha provocado diversas manifestaciones clínicas, en diferentes grupos poblacionales, como son las personas con alguna comorbilidad, entre las que destacan por su prevalencia la Diabetes Mellitus de Tipo II, la EPOC y la hipertensión, lo cual ha acarreado diferentes complicaciones orgánicas que se diagnostican de manera tardía como insuficiencias renales, hepática, cardiacas, las cuales tienen como eje el tono del sistema vascular. Por lo tanto, hace falta determinar el estado de homeostasis a nivel metabólico, en pacientes adultos que han cursado con COVID-19 y en algunos casos han sido diagnosticados previamente con alguna comorbilidad, lo cual les ha desencadenado otras complicaciones que se manifiestan como insuficiencias orgánicas. Es por tanto necesario contar con pruebas químicas que determinen de manera precoz, la función enzimática que regula la homeostasis metabólica en los pacientes diagnosticados con COVID-19. El presente trabajo muestra las evidencias preliminares que involucran el aumento en la expresión del perfil de enzimas como la Lactato Deshidrogenasa (LDH), Fosfatasa Alcalina (ALP), Gamma Glutamil Transpeptidasa (GGT),  Transaminasa Glutámica Oxalacetica / Aspartato Aminotransferasa (TGO / AST) y Transaminasa Glutámica Pirúvica / Alanina Aminotransferasa (TGP / ALT), las cuales no solo reflejan el funcionamiento hepático, se encuentran relacionadas también con posibles eventos hemodinámicos, los cuales son en buena medida los responsables de la insuficiencia en diversos órganos. Así los datos mostrados en este trabajo sientan las bases para complementar las pruebas, no solo diagnosticas de tipo infeccioso, si no también dar seguimiento a los pacientes recuperados de COVID-19 y con secuelas orgánicas graves. </w:t>
      </w:r>
      <w:r w:rsidRPr="00EC464A">
        <w:rPr>
          <w:rFonts w:ascii="Times New Roman" w:hAnsi="Times New Roman" w:cs="Times New Roman"/>
          <w:sz w:val="24"/>
          <w:szCs w:val="24"/>
        </w:rPr>
        <w:t xml:space="preserve"> </w:t>
      </w:r>
    </w:p>
    <w:p w14:paraId="5C0A2476" w14:textId="77777777" w:rsidR="00D26A49" w:rsidRDefault="00D26A49" w:rsidP="00D26A49">
      <w:pPr>
        <w:spacing w:line="360" w:lineRule="auto"/>
        <w:jc w:val="both"/>
        <w:rPr>
          <w:rFonts w:ascii="Times New Roman" w:hAnsi="Times New Roman" w:cs="Times New Roman"/>
        </w:rPr>
      </w:pPr>
      <w:r w:rsidRPr="00A32432">
        <w:rPr>
          <w:rFonts w:ascii="Times New Roman" w:hAnsi="Times New Roman" w:cs="Times New Roman"/>
          <w:i/>
          <w:iCs/>
        </w:rPr>
        <w:t>Palabras clave:</w:t>
      </w:r>
      <w:r w:rsidRPr="00A32432">
        <w:rPr>
          <w:rFonts w:ascii="Times New Roman" w:hAnsi="Times New Roman" w:cs="Times New Roman"/>
        </w:rPr>
        <w:t xml:space="preserve"> </w:t>
      </w:r>
      <w:r>
        <w:rPr>
          <w:rFonts w:ascii="Times New Roman" w:hAnsi="Times New Roman" w:cs="Times New Roman"/>
        </w:rPr>
        <w:t>Perfil hepático; COVID-19; comorbilidad.</w:t>
      </w:r>
    </w:p>
    <w:p w14:paraId="01CCF4FA" w14:textId="77777777" w:rsidR="00D26A49" w:rsidRPr="00205B3A" w:rsidRDefault="00D26A49" w:rsidP="00D26A49">
      <w:pPr>
        <w:spacing w:line="360" w:lineRule="auto"/>
        <w:jc w:val="both"/>
        <w:rPr>
          <w:rFonts w:ascii="Times New Roman" w:hAnsi="Times New Roman" w:cs="Times New Roman"/>
          <w:b/>
          <w:bCs/>
          <w:sz w:val="24"/>
          <w:szCs w:val="24"/>
        </w:rPr>
      </w:pPr>
    </w:p>
    <w:p w14:paraId="32DF7F55" w14:textId="77777777" w:rsidR="00D26A49" w:rsidRPr="00205B3A" w:rsidRDefault="00D26A49" w:rsidP="006541C1">
      <w:pPr>
        <w:spacing w:line="360" w:lineRule="auto"/>
        <w:jc w:val="center"/>
        <w:rPr>
          <w:rFonts w:ascii="Times New Roman" w:hAnsi="Times New Roman" w:cs="Times New Roman"/>
          <w:b/>
          <w:bCs/>
          <w:sz w:val="24"/>
          <w:szCs w:val="24"/>
        </w:rPr>
      </w:pPr>
    </w:p>
    <w:p w14:paraId="6E948BF3" w14:textId="77777777" w:rsidR="00D26A49" w:rsidRPr="00205B3A" w:rsidRDefault="00D26A49" w:rsidP="006541C1">
      <w:pPr>
        <w:spacing w:line="360" w:lineRule="auto"/>
        <w:jc w:val="center"/>
        <w:rPr>
          <w:rFonts w:ascii="Times New Roman" w:hAnsi="Times New Roman" w:cs="Times New Roman"/>
          <w:b/>
          <w:bCs/>
          <w:sz w:val="24"/>
          <w:szCs w:val="24"/>
        </w:rPr>
      </w:pPr>
    </w:p>
    <w:p w14:paraId="03626D32" w14:textId="77777777" w:rsidR="00D26A49" w:rsidRPr="00205B3A" w:rsidRDefault="00D26A49" w:rsidP="006541C1">
      <w:pPr>
        <w:spacing w:line="360" w:lineRule="auto"/>
        <w:jc w:val="center"/>
        <w:rPr>
          <w:rFonts w:ascii="Times New Roman" w:hAnsi="Times New Roman" w:cs="Times New Roman"/>
          <w:b/>
          <w:bCs/>
          <w:sz w:val="24"/>
          <w:szCs w:val="24"/>
        </w:rPr>
      </w:pPr>
    </w:p>
    <w:p w14:paraId="144B80BB" w14:textId="0C25B3B6" w:rsidR="00D26A49" w:rsidRPr="00205B3A" w:rsidRDefault="00D26A49" w:rsidP="006541C1">
      <w:pPr>
        <w:spacing w:line="360" w:lineRule="auto"/>
        <w:jc w:val="center"/>
        <w:rPr>
          <w:rFonts w:ascii="Times New Roman" w:hAnsi="Times New Roman" w:cs="Times New Roman"/>
          <w:b/>
          <w:bCs/>
          <w:sz w:val="24"/>
          <w:szCs w:val="24"/>
        </w:rPr>
      </w:pPr>
    </w:p>
    <w:p w14:paraId="1D6C15BA" w14:textId="77777777" w:rsidR="00D26A49" w:rsidRPr="00205B3A" w:rsidRDefault="00D26A49" w:rsidP="006541C1">
      <w:pPr>
        <w:spacing w:line="360" w:lineRule="auto"/>
        <w:jc w:val="center"/>
        <w:rPr>
          <w:rFonts w:ascii="Times New Roman" w:hAnsi="Times New Roman" w:cs="Times New Roman"/>
          <w:b/>
          <w:bCs/>
          <w:sz w:val="24"/>
          <w:szCs w:val="24"/>
        </w:rPr>
      </w:pPr>
    </w:p>
    <w:p w14:paraId="078E26B7" w14:textId="77777777" w:rsidR="00205B3A" w:rsidRDefault="00205B3A" w:rsidP="006541C1">
      <w:pPr>
        <w:spacing w:line="360" w:lineRule="auto"/>
        <w:jc w:val="both"/>
        <w:rPr>
          <w:rFonts w:ascii="Times New Roman" w:hAnsi="Times New Roman" w:cs="Times New Roman"/>
          <w:b/>
          <w:bCs/>
        </w:rPr>
      </w:pPr>
    </w:p>
    <w:p w14:paraId="2642761C" w14:textId="77777777" w:rsidR="00205B3A" w:rsidRDefault="00205B3A" w:rsidP="006541C1">
      <w:pPr>
        <w:spacing w:line="360" w:lineRule="auto"/>
        <w:jc w:val="both"/>
        <w:rPr>
          <w:rFonts w:ascii="Times New Roman" w:hAnsi="Times New Roman" w:cs="Times New Roman"/>
          <w:b/>
          <w:bCs/>
        </w:rPr>
      </w:pPr>
    </w:p>
    <w:p w14:paraId="5A6AADEA" w14:textId="736FE21D" w:rsidR="006541C1" w:rsidRPr="00831C17" w:rsidRDefault="006541C1" w:rsidP="006541C1">
      <w:pPr>
        <w:spacing w:line="360" w:lineRule="auto"/>
        <w:jc w:val="both"/>
        <w:rPr>
          <w:rFonts w:ascii="Times New Roman" w:hAnsi="Times New Roman" w:cs="Times New Roman"/>
          <w:sz w:val="24"/>
          <w:szCs w:val="24"/>
        </w:rPr>
      </w:pPr>
      <w:r>
        <w:rPr>
          <w:rFonts w:ascii="Times New Roman" w:hAnsi="Times New Roman" w:cs="Times New Roman"/>
          <w:b/>
          <w:bCs/>
        </w:rPr>
        <w:lastRenderedPageBreak/>
        <w:t>Abstract</w:t>
      </w:r>
      <w:r w:rsidRPr="00831C17">
        <w:rPr>
          <w:rFonts w:ascii="Times New Roman" w:hAnsi="Times New Roman" w:cs="Times New Roman"/>
          <w:sz w:val="24"/>
          <w:szCs w:val="24"/>
        </w:rPr>
        <w:t xml:space="preserve"> </w:t>
      </w:r>
    </w:p>
    <w:p w14:paraId="65538048" w14:textId="225813C0" w:rsidR="006541C1" w:rsidRPr="004E0B9C" w:rsidRDefault="004E0B9C" w:rsidP="00D26A49">
      <w:pPr>
        <w:spacing w:line="240" w:lineRule="auto"/>
        <w:jc w:val="both"/>
        <w:rPr>
          <w:rFonts w:ascii="Times New Roman" w:eastAsia="Times New Roman" w:hAnsi="Times New Roman" w:cs="Times New Roman"/>
          <w:color w:val="000000"/>
          <w:szCs w:val="24"/>
          <w:lang w:val="en-US" w:eastAsia="es-ES"/>
        </w:rPr>
      </w:pPr>
      <w:r w:rsidRPr="004E0B9C">
        <w:rPr>
          <w:rFonts w:ascii="Times New Roman" w:eastAsia="Times New Roman" w:hAnsi="Times New Roman" w:cs="Times New Roman"/>
          <w:color w:val="000000"/>
          <w:szCs w:val="24"/>
          <w:lang w:val="en-US" w:eastAsia="es-ES"/>
        </w:rPr>
        <w:t>The pandemic caused by the viral agent SARS-CoV-2, has caused various clinical manifestations, in different population groups, such as people with some comorbidity, among which Type II Diabetes Mellitus, COPD</w:t>
      </w:r>
      <w:r>
        <w:rPr>
          <w:rFonts w:ascii="Times New Roman" w:eastAsia="Times New Roman" w:hAnsi="Times New Roman" w:cs="Times New Roman"/>
          <w:color w:val="000000"/>
          <w:szCs w:val="24"/>
          <w:lang w:val="en-US" w:eastAsia="es-ES"/>
        </w:rPr>
        <w:t xml:space="preserve"> stand out for their prevalence</w:t>
      </w:r>
      <w:r w:rsidRPr="004E0B9C">
        <w:rPr>
          <w:rFonts w:ascii="Times New Roman" w:eastAsia="Times New Roman" w:hAnsi="Times New Roman" w:cs="Times New Roman"/>
          <w:color w:val="000000"/>
          <w:szCs w:val="24"/>
          <w:lang w:val="en-US" w:eastAsia="es-ES"/>
        </w:rPr>
        <w:t xml:space="preserve"> and hypertension, which has led to different organic complications that are diagnosed late, such as renal, hepatic, and cardiac insufficiencies, which have as their axis the tone of the vascular system. Therefore, it is necessary to determine the state of homeostasis at the metabolic level, in adult patients who have had COVID-19 and in some cases have been previously diagnosed with some comorbidity, which has triggered other complications that ma</w:t>
      </w:r>
      <w:r>
        <w:rPr>
          <w:rFonts w:ascii="Times New Roman" w:eastAsia="Times New Roman" w:hAnsi="Times New Roman" w:cs="Times New Roman"/>
          <w:color w:val="000000"/>
          <w:szCs w:val="24"/>
          <w:lang w:val="en-US" w:eastAsia="es-ES"/>
        </w:rPr>
        <w:t>nifest as organ insufficiencies</w:t>
      </w:r>
      <w:r w:rsidRPr="004E0B9C">
        <w:rPr>
          <w:rFonts w:ascii="Times New Roman" w:eastAsia="Times New Roman" w:hAnsi="Times New Roman" w:cs="Times New Roman"/>
          <w:color w:val="000000"/>
          <w:szCs w:val="24"/>
          <w:lang w:val="en-US" w:eastAsia="es-ES"/>
        </w:rPr>
        <w:t>. It is therefore necessary to have chemical tests that determine early, the enzymatic function that regulates metabolic homeostasis in patients diagnosed with COVID-19. The present work shows the preliminary evidences that involve the increase in the expression of the profile of enzymes such as Lactate Dehydrogenase (LDH), Alkaline Phosphatase (ALP), Gamma Glutamil Transpeptidase (GGT), Glutamic Oxalacetic Transaminase / Aspartate Aminotransferase (TGO / AST) and Glutamic Pyruvic Transaminase / Alanine Aminotransferase (TGP / ALT), which not only reflect liver function, are also related to possible hemodynamic events, which are largely responsible for the insufficiency in various organs. Thus, the data shown in this work lay the foundations to complement the tests, not only diagnoses of an infectious type, but also follow up patients recovered from COVID-19 and with serious organic sequelae.</w:t>
      </w:r>
    </w:p>
    <w:p w14:paraId="037C7DF1" w14:textId="77777777" w:rsidR="00D26A49" w:rsidRDefault="00D26A49" w:rsidP="00D26A49">
      <w:pPr>
        <w:spacing w:line="360" w:lineRule="auto"/>
        <w:jc w:val="both"/>
        <w:rPr>
          <w:rFonts w:ascii="Times New Roman" w:hAnsi="Times New Roman" w:cs="Times New Roman"/>
          <w:i/>
          <w:iCs/>
          <w:lang w:val="en-US"/>
        </w:rPr>
      </w:pPr>
    </w:p>
    <w:p w14:paraId="2D555593" w14:textId="41B2CD58" w:rsidR="00D26A49" w:rsidRPr="002A0FEB" w:rsidRDefault="00D26A49" w:rsidP="00D26A49">
      <w:pPr>
        <w:spacing w:line="360" w:lineRule="auto"/>
        <w:jc w:val="both"/>
        <w:rPr>
          <w:rFonts w:ascii="Times New Roman" w:hAnsi="Times New Roman" w:cs="Times New Roman"/>
          <w:lang w:val="en-US"/>
        </w:rPr>
      </w:pPr>
      <w:r w:rsidRPr="002A0FEB">
        <w:rPr>
          <w:rFonts w:ascii="Times New Roman" w:hAnsi="Times New Roman" w:cs="Times New Roman"/>
          <w:i/>
          <w:iCs/>
          <w:lang w:val="en-US"/>
        </w:rPr>
        <w:t>Keywords:</w:t>
      </w:r>
      <w:r w:rsidRPr="002A0FEB">
        <w:rPr>
          <w:rFonts w:ascii="Times New Roman" w:hAnsi="Times New Roman" w:cs="Times New Roman"/>
          <w:lang w:val="en-US"/>
        </w:rPr>
        <w:t xml:space="preserve"> </w:t>
      </w:r>
      <w:r>
        <w:rPr>
          <w:rFonts w:ascii="Times New Roman" w:hAnsi="Times New Roman" w:cs="Times New Roman"/>
          <w:lang w:val="en-US"/>
        </w:rPr>
        <w:t xml:space="preserve">Liver function test; COVID-19; </w:t>
      </w:r>
      <w:r w:rsidRPr="004E0B9C">
        <w:rPr>
          <w:rFonts w:ascii="Times New Roman" w:hAnsi="Times New Roman" w:cs="Times New Roman"/>
          <w:lang w:val="en-US"/>
        </w:rPr>
        <w:t>comorbidity</w:t>
      </w:r>
      <w:r w:rsidRPr="002A0FEB">
        <w:rPr>
          <w:rFonts w:ascii="Times New Roman" w:hAnsi="Times New Roman" w:cs="Times New Roman"/>
          <w:lang w:val="en-US"/>
        </w:rPr>
        <w:t>.</w:t>
      </w:r>
    </w:p>
    <w:p w14:paraId="1EF554AC" w14:textId="77777777" w:rsidR="00D26A49" w:rsidRPr="00205B3A" w:rsidRDefault="00D26A49"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4812348C" w14:textId="77777777" w:rsidR="00D26A49" w:rsidRPr="00205B3A" w:rsidRDefault="00D26A49"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0D96D3CA" w14:textId="77777777" w:rsidR="00864F3E" w:rsidRPr="00205B3A" w:rsidRDefault="00864F3E"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4E4DBB43" w14:textId="77777777" w:rsidR="00864F3E" w:rsidRPr="00205B3A" w:rsidRDefault="00864F3E"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3EBD3611" w14:textId="77777777" w:rsidR="00864F3E" w:rsidRPr="00205B3A" w:rsidRDefault="00864F3E"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781F8923" w14:textId="77777777" w:rsidR="00864F3E" w:rsidRPr="00205B3A" w:rsidRDefault="00864F3E"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7459B238" w14:textId="77777777" w:rsidR="00864F3E" w:rsidRPr="00205B3A" w:rsidRDefault="00864F3E" w:rsidP="006541C1">
      <w:pPr>
        <w:spacing w:line="360" w:lineRule="auto"/>
        <w:jc w:val="both"/>
        <w:rPr>
          <w:rFonts w:ascii="Times New Roman" w:eastAsia="Times New Roman" w:hAnsi="Times New Roman" w:cs="Times New Roman"/>
          <w:b/>
          <w:bCs/>
          <w:color w:val="000000" w:themeColor="text1"/>
          <w:sz w:val="24"/>
          <w:szCs w:val="24"/>
          <w:lang w:val="en-US" w:eastAsia="es-ES"/>
        </w:rPr>
      </w:pPr>
    </w:p>
    <w:p w14:paraId="4F6D2D83" w14:textId="6CDCF96D"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1. Introducción</w:t>
      </w:r>
    </w:p>
    <w:p w14:paraId="471E5657" w14:textId="77777777" w:rsidR="00C1077D" w:rsidRDefault="00C1077D" w:rsidP="006541C1">
      <w:pPr>
        <w:spacing w:line="360" w:lineRule="auto"/>
        <w:jc w:val="both"/>
        <w:rPr>
          <w:rFonts w:ascii="Times New Roman" w:hAnsi="Times New Roman"/>
        </w:rPr>
        <w:sectPr w:rsidR="00C1077D">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p w14:paraId="6976F154" w14:textId="777A1946" w:rsidR="006541C1" w:rsidRPr="00864F3E" w:rsidRDefault="00864F3E" w:rsidP="00237BB4">
      <w:pPr>
        <w:spacing w:line="240" w:lineRule="auto"/>
        <w:jc w:val="both"/>
        <w:rPr>
          <w:rFonts w:ascii="Times New Roman" w:hAnsi="Times New Roman"/>
        </w:rPr>
      </w:pPr>
      <w:r>
        <w:rPr>
          <w:rFonts w:ascii="Times New Roman" w:hAnsi="Times New Roman"/>
        </w:rPr>
        <w:t xml:space="preserve">La pandemia </w:t>
      </w:r>
      <w:r w:rsidR="00CE461C">
        <w:rPr>
          <w:rFonts w:ascii="Times New Roman" w:hAnsi="Times New Roman"/>
        </w:rPr>
        <w:t>por el SARS-CoV-2, provoco una enfermedad emergente denominada COVID-19</w:t>
      </w:r>
      <w:r w:rsidR="00AC2B8E">
        <w:rPr>
          <w:rFonts w:ascii="Times New Roman" w:hAnsi="Times New Roman"/>
        </w:rPr>
        <w:t xml:space="preserve"> </w:t>
      </w:r>
      <w:r w:rsidR="00AC2B8E" w:rsidRPr="00AC2B8E">
        <w:rPr>
          <w:rFonts w:ascii="Times New Roman" w:hAnsi="Times New Roman" w:cs="Times New Roman"/>
        </w:rPr>
        <w:t>(</w:t>
      </w:r>
      <w:r w:rsidR="00AC2B8E" w:rsidRPr="00AC2B8E">
        <w:rPr>
          <w:rFonts w:ascii="Times New Roman" w:hAnsi="Times New Roman" w:cs="Times New Roman"/>
          <w:color w:val="212121"/>
          <w:shd w:val="clear" w:color="auto" w:fill="FFFFFF"/>
        </w:rPr>
        <w:t>Umakanthan y col., 2020</w:t>
      </w:r>
      <w:r w:rsidR="00AC2B8E" w:rsidRPr="00AC2B8E">
        <w:rPr>
          <w:rFonts w:ascii="Times New Roman" w:hAnsi="Times New Roman" w:cs="Times New Roman"/>
        </w:rPr>
        <w:t>)</w:t>
      </w:r>
      <w:r w:rsidR="00AC2B8E">
        <w:rPr>
          <w:rFonts w:ascii="Times New Roman" w:hAnsi="Times New Roman"/>
        </w:rPr>
        <w:t xml:space="preserve"> </w:t>
      </w:r>
      <w:r w:rsidR="00CE461C">
        <w:rPr>
          <w:rFonts w:ascii="Times New Roman" w:hAnsi="Times New Roman"/>
        </w:rPr>
        <w:t>, la cual, ha provocado diversas afecciones, que van desde las sensoriales, de manera temporal, hasta las neurológicas, pulmonares y vasculares (</w:t>
      </w:r>
      <w:r w:rsidR="00B61C78">
        <w:rPr>
          <w:rFonts w:ascii="Times New Roman" w:hAnsi="Times New Roman"/>
        </w:rPr>
        <w:t>Harapan y Yoo, 2021</w:t>
      </w:r>
      <w:r w:rsidR="00CE461C">
        <w:rPr>
          <w:rFonts w:ascii="Times New Roman" w:hAnsi="Times New Roman"/>
        </w:rPr>
        <w:t xml:space="preserve">), sin </w:t>
      </w:r>
      <w:r w:rsidR="00C1077D">
        <w:rPr>
          <w:rFonts w:ascii="Times New Roman" w:hAnsi="Times New Roman"/>
        </w:rPr>
        <w:t>embargo,</w:t>
      </w:r>
      <w:r w:rsidR="00CE461C">
        <w:rPr>
          <w:rFonts w:ascii="Times New Roman" w:hAnsi="Times New Roman"/>
        </w:rPr>
        <w:t xml:space="preserve"> los pacientes que se han recuperado de la COVID-19, siguen manifestando signos y síntomas, que involucran procesos inflamatorios en diversos, tejidos, como pulmonar, cardiaco y posiblemente hepático </w:t>
      </w:r>
      <w:r w:rsidR="00CE461C" w:rsidRPr="00AC2B8E">
        <w:rPr>
          <w:rFonts w:ascii="Times New Roman" w:hAnsi="Times New Roman" w:cs="Times New Roman"/>
        </w:rPr>
        <w:t>(</w:t>
      </w:r>
      <w:r w:rsidR="007028C9">
        <w:rPr>
          <w:rFonts w:ascii="Times New Roman" w:hAnsi="Times New Roman" w:cs="Times New Roman"/>
        </w:rPr>
        <w:t xml:space="preserve">Almeida-Costa y col., 2021; </w:t>
      </w:r>
      <w:r w:rsidR="00AC2B8E" w:rsidRPr="00AC2B8E">
        <w:rPr>
          <w:rFonts w:ascii="Times New Roman" w:hAnsi="Times New Roman" w:cs="Times New Roman"/>
          <w:color w:val="212121"/>
          <w:shd w:val="clear" w:color="auto" w:fill="FFFFFF"/>
        </w:rPr>
        <w:t>Cha y col., 2020</w:t>
      </w:r>
      <w:r w:rsidR="00CE461C" w:rsidRPr="00AC2B8E">
        <w:rPr>
          <w:rFonts w:ascii="Times New Roman" w:hAnsi="Times New Roman" w:cs="Times New Roman"/>
        </w:rPr>
        <w:t>).</w:t>
      </w:r>
      <w:r w:rsidR="00CE461C">
        <w:rPr>
          <w:rFonts w:ascii="Times New Roman" w:hAnsi="Times New Roman"/>
        </w:rPr>
        <w:t xml:space="preserve"> Por lo que se puede establecer que algunos </w:t>
      </w:r>
      <w:r w:rsidR="00CE461C">
        <w:rPr>
          <w:rFonts w:ascii="Times New Roman" w:hAnsi="Times New Roman"/>
        </w:rPr>
        <w:lastRenderedPageBreak/>
        <w:t>pacientes recuperados de COVID-19, presentan consecuencias tisulares a nivel hepático, derivando en otras complicaciones, como las renales y los fenómenos de coagulación</w:t>
      </w:r>
      <w:r w:rsidR="00AC2B8E">
        <w:rPr>
          <w:rFonts w:ascii="Times New Roman" w:hAnsi="Times New Roman"/>
        </w:rPr>
        <w:t xml:space="preserve"> (Dou y col., 2020);</w:t>
      </w:r>
      <w:r w:rsidR="00CE461C">
        <w:rPr>
          <w:rFonts w:ascii="Times New Roman" w:hAnsi="Times New Roman"/>
        </w:rPr>
        <w:t xml:space="preserve"> por lo que sigue siendo oportuno contar con herramientas </w:t>
      </w:r>
      <w:r w:rsidR="00C1077D">
        <w:rPr>
          <w:rFonts w:ascii="Times New Roman" w:hAnsi="Times New Roman"/>
        </w:rPr>
        <w:t xml:space="preserve">bioquímicas y moleculares accesibles que permitan identificar y prever las </w:t>
      </w:r>
      <w:r w:rsidR="00C1077D">
        <w:rPr>
          <w:rFonts w:ascii="Times New Roman" w:hAnsi="Times New Roman"/>
        </w:rPr>
        <w:t>consecuencias celulares y tisulares implicadas en pacientes post-COVID-19</w:t>
      </w:r>
      <w:r w:rsidR="007028C9">
        <w:rPr>
          <w:rFonts w:ascii="Times New Roman" w:hAnsi="Times New Roman"/>
        </w:rPr>
        <w:t xml:space="preserve"> (Rai y col., 2021)</w:t>
      </w:r>
      <w:r w:rsidR="00C1077D">
        <w:rPr>
          <w:rFonts w:ascii="Times New Roman" w:hAnsi="Times New Roman"/>
        </w:rPr>
        <w:t>. El objetivo del presente trabajo, es mostrar que marcadores de daño tisular se encuentran elevados en pacientes post-COVID-19 y permiten identificar posibles complicaciones hemodinámicas y hepato-renales, por consecuencia.</w:t>
      </w:r>
    </w:p>
    <w:p w14:paraId="71E31262" w14:textId="5FED8075" w:rsidR="00AC2B8E" w:rsidRDefault="00AC2B8E" w:rsidP="006541C1">
      <w:pPr>
        <w:spacing w:line="360" w:lineRule="auto"/>
        <w:jc w:val="both"/>
        <w:rPr>
          <w:rFonts w:ascii="Times New Roman" w:eastAsia="Times New Roman" w:hAnsi="Times New Roman" w:cs="Times New Roman"/>
          <w:b/>
          <w:bCs/>
          <w:color w:val="000000" w:themeColor="text1"/>
          <w:sz w:val="24"/>
          <w:szCs w:val="24"/>
          <w:lang w:val="es-ES" w:eastAsia="es-ES"/>
        </w:rPr>
        <w:sectPr w:rsidR="00AC2B8E" w:rsidSect="00C1077D">
          <w:type w:val="continuous"/>
          <w:pgSz w:w="12240" w:h="15840"/>
          <w:pgMar w:top="1417" w:right="1701" w:bottom="1417" w:left="1701" w:header="708" w:footer="708" w:gutter="0"/>
          <w:cols w:num="2" w:space="708"/>
          <w:docGrid w:linePitch="360"/>
        </w:sectPr>
      </w:pPr>
    </w:p>
    <w:p w14:paraId="6B170D68" w14:textId="77777777" w:rsidR="00AC2B8E" w:rsidRDefault="00AC2B8E" w:rsidP="006541C1">
      <w:pPr>
        <w:spacing w:line="360" w:lineRule="auto"/>
        <w:jc w:val="both"/>
        <w:rPr>
          <w:rFonts w:ascii="Times New Roman" w:eastAsia="Times New Roman" w:hAnsi="Times New Roman" w:cs="Times New Roman"/>
          <w:b/>
          <w:bCs/>
          <w:color w:val="000000" w:themeColor="text1"/>
          <w:sz w:val="24"/>
          <w:szCs w:val="24"/>
          <w:lang w:val="es-ES" w:eastAsia="es-ES"/>
        </w:rPr>
      </w:pPr>
    </w:p>
    <w:p w14:paraId="2D24ABF0" w14:textId="215593E2" w:rsidR="00C1077D" w:rsidRDefault="006541C1" w:rsidP="006541C1">
      <w:pPr>
        <w:spacing w:line="360" w:lineRule="auto"/>
        <w:jc w:val="both"/>
        <w:rPr>
          <w:rFonts w:ascii="Times New Roman" w:eastAsia="Times New Roman" w:hAnsi="Times New Roman" w:cs="Times New Roman"/>
          <w:b/>
          <w:bCs/>
          <w:color w:val="000000" w:themeColor="text1"/>
          <w:sz w:val="24"/>
          <w:szCs w:val="24"/>
          <w:lang w:val="es-ES" w:eastAsia="es-ES"/>
        </w:rPr>
      </w:pPr>
      <w:r w:rsidRPr="7CC131D3">
        <w:rPr>
          <w:rFonts w:ascii="Times New Roman" w:eastAsia="Times New Roman" w:hAnsi="Times New Roman" w:cs="Times New Roman"/>
          <w:b/>
          <w:bCs/>
          <w:color w:val="000000" w:themeColor="text1"/>
          <w:sz w:val="24"/>
          <w:szCs w:val="24"/>
          <w:lang w:val="es-ES" w:eastAsia="es-ES"/>
        </w:rPr>
        <w:t xml:space="preserve">2. </w:t>
      </w:r>
      <w:r w:rsidR="00C1077D">
        <w:rPr>
          <w:rFonts w:ascii="Times New Roman" w:eastAsia="Times New Roman" w:hAnsi="Times New Roman" w:cs="Times New Roman"/>
          <w:b/>
          <w:bCs/>
          <w:color w:val="000000" w:themeColor="text1"/>
          <w:sz w:val="24"/>
          <w:szCs w:val="24"/>
          <w:lang w:val="es-ES" w:eastAsia="es-ES"/>
        </w:rPr>
        <w:t>Material y Métodos</w:t>
      </w:r>
    </w:p>
    <w:p w14:paraId="36E1A5A8" w14:textId="77777777" w:rsidR="0085605F" w:rsidRDefault="0085605F" w:rsidP="006541C1">
      <w:pPr>
        <w:spacing w:line="360" w:lineRule="auto"/>
        <w:jc w:val="both"/>
        <w:rPr>
          <w:rFonts w:ascii="Times New Roman" w:eastAsia="Times New Roman" w:hAnsi="Times New Roman" w:cs="Times New Roman"/>
          <w:color w:val="000000" w:themeColor="text1"/>
          <w:lang w:val="es-ES" w:eastAsia="es-ES"/>
        </w:rPr>
        <w:sectPr w:rsidR="0085605F" w:rsidSect="00C1077D">
          <w:type w:val="continuous"/>
          <w:pgSz w:w="12240" w:h="15840"/>
          <w:pgMar w:top="1417" w:right="1701" w:bottom="1417" w:left="1701" w:header="708" w:footer="708" w:gutter="0"/>
          <w:cols w:space="708"/>
          <w:docGrid w:linePitch="360"/>
        </w:sectPr>
      </w:pPr>
    </w:p>
    <w:p w14:paraId="1F469B8F" w14:textId="4A7EDD98" w:rsidR="006541C1" w:rsidRPr="0085605F" w:rsidRDefault="00394B51" w:rsidP="00237BB4">
      <w:pPr>
        <w:spacing w:line="240" w:lineRule="auto"/>
        <w:jc w:val="both"/>
        <w:rPr>
          <w:rFonts w:ascii="Times New Roman" w:eastAsia="Times New Roman" w:hAnsi="Times New Roman" w:cs="Times New Roman"/>
          <w:color w:val="000000" w:themeColor="text1"/>
          <w:lang w:val="es-ES" w:eastAsia="es-ES"/>
        </w:rPr>
      </w:pPr>
      <w:r w:rsidRPr="0085605F">
        <w:rPr>
          <w:rFonts w:ascii="Times New Roman" w:eastAsia="Times New Roman" w:hAnsi="Times New Roman" w:cs="Times New Roman"/>
          <w:color w:val="000000" w:themeColor="text1"/>
          <w:lang w:val="es-ES" w:eastAsia="es-ES"/>
        </w:rPr>
        <w:t>A través del Cuerpo Académico de Fisiopatolgías-211 y el servicio extrauniversitario, s</w:t>
      </w:r>
      <w:r w:rsidR="00C1077D" w:rsidRPr="0085605F">
        <w:rPr>
          <w:rFonts w:ascii="Times New Roman" w:eastAsia="Times New Roman" w:hAnsi="Times New Roman" w:cs="Times New Roman"/>
          <w:color w:val="000000" w:themeColor="text1"/>
          <w:lang w:val="es-ES" w:eastAsia="es-ES"/>
        </w:rPr>
        <w:t xml:space="preserve">e colectaron muestras sanguíneas en ayuno, de pacientes adultos, con diagnóstico </w:t>
      </w:r>
      <w:r w:rsidRPr="0085605F">
        <w:rPr>
          <w:rFonts w:ascii="Times New Roman" w:eastAsia="Times New Roman" w:hAnsi="Times New Roman" w:cs="Times New Roman"/>
          <w:color w:val="000000" w:themeColor="text1"/>
          <w:lang w:val="es-ES" w:eastAsia="es-ES"/>
        </w:rPr>
        <w:t>médico de</w:t>
      </w:r>
      <w:r w:rsidR="00C1077D" w:rsidRPr="0085605F">
        <w:rPr>
          <w:rFonts w:ascii="Times New Roman" w:eastAsia="Times New Roman" w:hAnsi="Times New Roman" w:cs="Times New Roman"/>
          <w:color w:val="000000" w:themeColor="text1"/>
          <w:lang w:val="es-ES" w:eastAsia="es-ES"/>
        </w:rPr>
        <w:t xml:space="preserve"> COVID-19 y prueba, serológica positiva para anticuerpos de memoria (IgG</w:t>
      </w:r>
      <w:r w:rsidRPr="0085605F">
        <w:rPr>
          <w:rFonts w:ascii="Times New Roman" w:eastAsia="Times New Roman" w:hAnsi="Times New Roman" w:cs="Times New Roman"/>
          <w:color w:val="000000" w:themeColor="text1"/>
          <w:lang w:val="es-ES" w:eastAsia="es-ES"/>
        </w:rPr>
        <w:t>), durante</w:t>
      </w:r>
      <w:r w:rsidR="00C1077D" w:rsidRPr="0085605F">
        <w:rPr>
          <w:rFonts w:ascii="Times New Roman" w:eastAsia="Times New Roman" w:hAnsi="Times New Roman" w:cs="Times New Roman"/>
          <w:color w:val="000000" w:themeColor="text1"/>
          <w:lang w:val="es-ES" w:eastAsia="es-ES"/>
        </w:rPr>
        <w:t xml:space="preserve"> un período de 6 meses</w:t>
      </w:r>
      <w:r w:rsidRPr="0085605F">
        <w:rPr>
          <w:rFonts w:ascii="Times New Roman" w:eastAsia="Times New Roman" w:hAnsi="Times New Roman" w:cs="Times New Roman"/>
          <w:color w:val="000000" w:themeColor="text1"/>
          <w:lang w:val="es-ES" w:eastAsia="es-ES"/>
        </w:rPr>
        <w:t xml:space="preserve">. </w:t>
      </w:r>
      <w:r w:rsidRPr="0085605F">
        <w:rPr>
          <w:rFonts w:ascii="Times New Roman" w:hAnsi="Times New Roman"/>
        </w:rPr>
        <w:t>Ninguno de los pacientes había sido diagnosticado previamente con problemas hepáticos.</w:t>
      </w:r>
      <w:r w:rsidRPr="0085605F">
        <w:rPr>
          <w:rFonts w:ascii="Times New Roman" w:eastAsia="Times New Roman" w:hAnsi="Times New Roman" w:cs="Times New Roman"/>
          <w:color w:val="000000" w:themeColor="text1"/>
          <w:lang w:val="es-ES" w:eastAsia="es-ES"/>
        </w:rPr>
        <w:t xml:space="preserve"> Las muestras sanguíneas, se procesaron para obtención suero y </w:t>
      </w:r>
      <w:r w:rsidRPr="0085605F">
        <w:rPr>
          <w:rFonts w:ascii="Times New Roman" w:eastAsia="Times New Roman" w:hAnsi="Times New Roman" w:cs="Times New Roman"/>
          <w:color w:val="000000" w:themeColor="text1"/>
          <w:lang w:val="es-ES" w:eastAsia="es-ES"/>
        </w:rPr>
        <w:t xml:space="preserve">determinación de la actividad enzimática de: </w:t>
      </w:r>
      <w:r w:rsidRPr="0085605F">
        <w:rPr>
          <w:rFonts w:ascii="Times New Roman" w:hAnsi="Times New Roman"/>
        </w:rPr>
        <w:t xml:space="preserve">fosfatasa alcalina (ALP), lactato deshidrogenasa (LDH), gamma-glutamil transpéptidasa (GGT) y aspartato amino transfersa (AST) y ALT alanín amino tranferasa ALT. Para las determinaciones enzimáticas, se utilizaron los reactivos específicos de provenientes de Spinreact y las lecturas espectrofometricas se utilizó el espectrofotómetro Smarspec 3000 de Biorad. </w:t>
      </w:r>
    </w:p>
    <w:p w14:paraId="099CF088" w14:textId="77777777" w:rsidR="0085605F" w:rsidRDefault="0085605F" w:rsidP="006541C1">
      <w:pPr>
        <w:spacing w:line="360" w:lineRule="auto"/>
        <w:jc w:val="both"/>
        <w:rPr>
          <w:rFonts w:ascii="Times New Roman" w:hAnsi="Times New Roman"/>
          <w:b/>
          <w:bCs/>
        </w:rPr>
        <w:sectPr w:rsidR="0085605F" w:rsidSect="0085605F">
          <w:type w:val="continuous"/>
          <w:pgSz w:w="12240" w:h="15840"/>
          <w:pgMar w:top="1417" w:right="1701" w:bottom="1417" w:left="1701" w:header="708" w:footer="708" w:gutter="0"/>
          <w:cols w:num="2" w:space="708"/>
          <w:docGrid w:linePitch="360"/>
        </w:sectPr>
      </w:pPr>
    </w:p>
    <w:p w14:paraId="6B5DAC3B" w14:textId="77777777" w:rsidR="00237BB4" w:rsidRDefault="00237BB4" w:rsidP="006541C1">
      <w:pPr>
        <w:spacing w:line="360" w:lineRule="auto"/>
        <w:jc w:val="both"/>
        <w:rPr>
          <w:rFonts w:ascii="Times New Roman" w:hAnsi="Times New Roman"/>
          <w:b/>
          <w:bCs/>
        </w:rPr>
      </w:pPr>
    </w:p>
    <w:p w14:paraId="6007C090" w14:textId="71447C33" w:rsidR="006541C1" w:rsidRPr="0085605F" w:rsidRDefault="00394B51" w:rsidP="006541C1">
      <w:pPr>
        <w:spacing w:line="360" w:lineRule="auto"/>
        <w:jc w:val="both"/>
        <w:rPr>
          <w:rFonts w:ascii="Times New Roman" w:hAnsi="Times New Roman"/>
          <w:b/>
          <w:bCs/>
        </w:rPr>
      </w:pPr>
      <w:r w:rsidRPr="0085605F">
        <w:rPr>
          <w:rFonts w:ascii="Times New Roman" w:hAnsi="Times New Roman"/>
          <w:b/>
          <w:bCs/>
        </w:rPr>
        <w:t>3. Resultados</w:t>
      </w:r>
    </w:p>
    <w:p w14:paraId="03A54F72" w14:textId="77777777" w:rsidR="00237BB4" w:rsidRDefault="00237BB4" w:rsidP="006541C1">
      <w:pPr>
        <w:spacing w:line="360" w:lineRule="auto"/>
        <w:jc w:val="both"/>
        <w:rPr>
          <w:rFonts w:ascii="Times New Roman" w:hAnsi="Times New Roman"/>
        </w:rPr>
        <w:sectPr w:rsidR="00237BB4" w:rsidSect="00C1077D">
          <w:type w:val="continuous"/>
          <w:pgSz w:w="12240" w:h="15840"/>
          <w:pgMar w:top="1417" w:right="1701" w:bottom="1417" w:left="1701" w:header="708" w:footer="708" w:gutter="0"/>
          <w:cols w:space="708"/>
          <w:docGrid w:linePitch="360"/>
        </w:sectPr>
      </w:pPr>
    </w:p>
    <w:p w14:paraId="77E56D33" w14:textId="52C2943C" w:rsidR="00237BB4" w:rsidRPr="007028C9" w:rsidRDefault="0085605F" w:rsidP="007028C9">
      <w:pPr>
        <w:spacing w:line="240" w:lineRule="auto"/>
        <w:jc w:val="both"/>
        <w:rPr>
          <w:rFonts w:ascii="Times New Roman" w:hAnsi="Times New Roman"/>
        </w:rPr>
        <w:sectPr w:rsidR="00237BB4" w:rsidRPr="007028C9" w:rsidSect="00237BB4">
          <w:type w:val="continuous"/>
          <w:pgSz w:w="12240" w:h="15840"/>
          <w:pgMar w:top="1417" w:right="1701" w:bottom="1417" w:left="1701" w:header="708" w:footer="708" w:gutter="0"/>
          <w:cols w:num="2" w:space="708"/>
          <w:docGrid w:linePitch="360"/>
        </w:sectPr>
      </w:pPr>
      <w:r w:rsidRPr="0085605F">
        <w:rPr>
          <w:rFonts w:ascii="Times New Roman" w:hAnsi="Times New Roman"/>
        </w:rPr>
        <w:t>En la Tabla. 1, se observa</w:t>
      </w:r>
      <w:r>
        <w:rPr>
          <w:rFonts w:ascii="Times New Roman" w:hAnsi="Times New Roman"/>
        </w:rPr>
        <w:t xml:space="preserve"> el género del paciente, la edad referida por el médico y </w:t>
      </w:r>
      <w:r w:rsidRPr="0085605F">
        <w:rPr>
          <w:rFonts w:ascii="Times New Roman" w:hAnsi="Times New Roman"/>
        </w:rPr>
        <w:t xml:space="preserve"> los resultados de las determinaciones de las actividades enzimática ALP (fosfatasa alcalina), LDH (lactato deshidrogenasa), GGT (gamma-glutamil transpéptidasa) y AST (aspartato amino transfersa) y en menor elevación la ALT (alanín amino tranferasa), los valores están expresados en Unidades Internacionales/ Litro (UI/L)</w:t>
      </w:r>
      <w:r w:rsidR="00237BB4">
        <w:rPr>
          <w:rFonts w:ascii="Times New Roman" w:hAnsi="Times New Roman"/>
        </w:rPr>
        <w:t xml:space="preserve">, cada </w:t>
      </w:r>
      <w:r w:rsidR="00237BB4">
        <w:rPr>
          <w:rFonts w:ascii="Times New Roman" w:hAnsi="Times New Roman"/>
        </w:rPr>
        <w:t xml:space="preserve">determinación enzimática tiene su promedio y su desviación estándar y la comparación respecto a los valores de referencia. </w:t>
      </w:r>
      <w:r w:rsidR="00237BB4" w:rsidRPr="00237BB4">
        <w:rPr>
          <w:rFonts w:ascii="Times New Roman" w:hAnsi="Times New Roman"/>
        </w:rPr>
        <w:t xml:space="preserve">Los resultados mostraron un incremento significativo de la ALP (fosfatasa alcalina), LDH (lactato deshidrogenasa), GGT (gamma-glutamil transpéptidasa) y AST (aspartato amino transfersa) y </w:t>
      </w:r>
      <w:r w:rsidR="00237BB4">
        <w:rPr>
          <w:rFonts w:ascii="Times New Roman" w:hAnsi="Times New Roman"/>
        </w:rPr>
        <w:t>una</w:t>
      </w:r>
      <w:r w:rsidR="00237BB4" w:rsidRPr="00237BB4">
        <w:rPr>
          <w:rFonts w:ascii="Times New Roman" w:hAnsi="Times New Roman"/>
        </w:rPr>
        <w:t xml:space="preserve"> elevación</w:t>
      </w:r>
      <w:r w:rsidR="00237BB4">
        <w:rPr>
          <w:rFonts w:ascii="Times New Roman" w:hAnsi="Times New Roman"/>
        </w:rPr>
        <w:t xml:space="preserve"> discreta de</w:t>
      </w:r>
      <w:r w:rsidR="00237BB4" w:rsidRPr="00237BB4">
        <w:rPr>
          <w:rFonts w:ascii="Times New Roman" w:hAnsi="Times New Roman"/>
        </w:rPr>
        <w:t xml:space="preserve"> la ALT (alanín amino tranferasa).    </w:t>
      </w:r>
    </w:p>
    <w:p w14:paraId="3A517349" w14:textId="77777777" w:rsidR="00237BB4" w:rsidRDefault="00237BB4" w:rsidP="006541C1">
      <w:pPr>
        <w:spacing w:line="360" w:lineRule="auto"/>
        <w:jc w:val="both"/>
        <w:rPr>
          <w:rFonts w:ascii="Times New Roman" w:eastAsia="Times New Roman" w:hAnsi="Times New Roman" w:cs="Times New Roman"/>
          <w:b/>
          <w:bCs/>
          <w:color w:val="000000" w:themeColor="text1"/>
          <w:sz w:val="24"/>
          <w:szCs w:val="24"/>
          <w:lang w:val="es-ES" w:eastAsia="es-ES"/>
        </w:rPr>
      </w:pPr>
    </w:p>
    <w:p w14:paraId="60F1CE00" w14:textId="1EDE0BA7" w:rsidR="00B61C78" w:rsidRPr="00B61C78" w:rsidRDefault="006541C1" w:rsidP="006541C1">
      <w:pPr>
        <w:spacing w:line="360" w:lineRule="auto"/>
        <w:jc w:val="both"/>
        <w:rPr>
          <w:rFonts w:ascii="Times New Roman" w:eastAsia="Times New Roman" w:hAnsi="Times New Roman" w:cs="Times New Roman"/>
          <w:b/>
          <w:bCs/>
          <w:color w:val="000000"/>
          <w:sz w:val="24"/>
          <w:szCs w:val="24"/>
          <w:lang w:val="es-ES" w:eastAsia="es-ES"/>
        </w:rPr>
        <w:sectPr w:rsidR="00B61C78" w:rsidRPr="00B61C78" w:rsidSect="00C1077D">
          <w:type w:val="continuous"/>
          <w:pgSz w:w="12240" w:h="15840"/>
          <w:pgMar w:top="1417" w:right="1701" w:bottom="1417" w:left="1701" w:header="708" w:footer="708" w:gutter="0"/>
          <w:cols w:space="708"/>
          <w:docGrid w:linePitch="360"/>
        </w:sectPr>
      </w:pPr>
      <w:r w:rsidRPr="7CC131D3">
        <w:rPr>
          <w:rFonts w:ascii="Times New Roman" w:eastAsia="Times New Roman" w:hAnsi="Times New Roman" w:cs="Times New Roman"/>
          <w:b/>
          <w:bCs/>
          <w:color w:val="000000" w:themeColor="text1"/>
          <w:sz w:val="24"/>
          <w:szCs w:val="24"/>
          <w:lang w:val="es-ES" w:eastAsia="es-ES"/>
        </w:rPr>
        <w:t>Conclusi</w:t>
      </w:r>
      <w:r w:rsidR="00B61C78">
        <w:rPr>
          <w:rFonts w:ascii="Times New Roman" w:eastAsia="Times New Roman" w:hAnsi="Times New Roman" w:cs="Times New Roman"/>
          <w:b/>
          <w:bCs/>
          <w:color w:val="000000" w:themeColor="text1"/>
          <w:sz w:val="24"/>
          <w:szCs w:val="24"/>
          <w:lang w:val="es-ES" w:eastAsia="es-ES"/>
        </w:rPr>
        <w:t>ón</w:t>
      </w:r>
    </w:p>
    <w:p w14:paraId="290039AA" w14:textId="200C181D" w:rsidR="006541C1" w:rsidRPr="00B61C78" w:rsidRDefault="00237BB4" w:rsidP="007028C9">
      <w:pPr>
        <w:spacing w:line="240" w:lineRule="auto"/>
        <w:jc w:val="both"/>
        <w:rPr>
          <w:rFonts w:ascii="Times New Roman" w:hAnsi="Times New Roman"/>
        </w:rPr>
      </w:pPr>
      <w:r w:rsidRPr="00B61C78">
        <w:rPr>
          <w:rFonts w:ascii="Times New Roman" w:hAnsi="Times New Roman"/>
        </w:rPr>
        <w:t>La enfermedad emergente de tipo viral,</w:t>
      </w:r>
      <w:r w:rsidR="002A0FEB" w:rsidRPr="00B61C78">
        <w:rPr>
          <w:rFonts w:ascii="Times New Roman" w:hAnsi="Times New Roman"/>
        </w:rPr>
        <w:t xml:space="preserve"> COVID-19</w:t>
      </w:r>
      <w:r w:rsidRPr="00B61C78">
        <w:rPr>
          <w:rFonts w:ascii="Times New Roman" w:hAnsi="Times New Roman"/>
        </w:rPr>
        <w:t>, está aún lejos de ser comprendida, en lo referente a su origen y desde luego en las implicaciones de salud en el corto plazo, más las complicaciones de salud en pacientes con comorbilidades, restan aun por establecer l</w:t>
      </w:r>
      <w:r w:rsidR="00B61C78" w:rsidRPr="00B61C78">
        <w:rPr>
          <w:rFonts w:ascii="Times New Roman" w:hAnsi="Times New Roman"/>
        </w:rPr>
        <w:t xml:space="preserve">as </w:t>
      </w:r>
      <w:r w:rsidR="00B61C78" w:rsidRPr="00B61C78">
        <w:rPr>
          <w:rFonts w:ascii="Times New Roman" w:hAnsi="Times New Roman"/>
        </w:rPr>
        <w:t>relaciones celulares y tisulares comprometidas en pacientes post-COVID-19</w:t>
      </w:r>
      <w:r w:rsidR="00B61C78">
        <w:rPr>
          <w:rFonts w:ascii="Times New Roman" w:hAnsi="Times New Roman"/>
        </w:rPr>
        <w:t>. L</w:t>
      </w:r>
      <w:r w:rsidR="00B61C78" w:rsidRPr="00B61C78">
        <w:rPr>
          <w:rFonts w:ascii="Times New Roman" w:hAnsi="Times New Roman"/>
        </w:rPr>
        <w:t xml:space="preserve">os marcadores bioquímicos, como las actividades enzimáticas, enzimática ALP (fosfatasa alcalina), LDH (lactato deshidrogenasa), GGT (gamma-glutamil transpéptidasa) y AST </w:t>
      </w:r>
      <w:r w:rsidR="00B61C78" w:rsidRPr="00B61C78">
        <w:rPr>
          <w:rFonts w:ascii="Times New Roman" w:hAnsi="Times New Roman"/>
        </w:rPr>
        <w:lastRenderedPageBreak/>
        <w:t xml:space="preserve">(aspartato amino transfersa) y en menor elevación la ALT (alanín amino tranferasa), mostraron un incremento significativo en su expresión y actividad, por lo que pueden </w:t>
      </w:r>
      <w:r w:rsidR="00B61C78" w:rsidRPr="00B61C78">
        <w:rPr>
          <w:rFonts w:ascii="Times New Roman" w:hAnsi="Times New Roman"/>
        </w:rPr>
        <w:t xml:space="preserve">relacionadas con un posible daño hepático, subdiagnosticado, en varios pacientes recuperados de COVID-19.  </w:t>
      </w:r>
      <w:r w:rsidR="002A0FEB" w:rsidRPr="00B61C78">
        <w:rPr>
          <w:rFonts w:ascii="Times New Roman" w:hAnsi="Times New Roman"/>
        </w:rPr>
        <w:t xml:space="preserve"> </w:t>
      </w:r>
    </w:p>
    <w:p w14:paraId="3778B10A" w14:textId="77777777" w:rsidR="00B61C78" w:rsidRDefault="00B61C78" w:rsidP="006541C1">
      <w:pPr>
        <w:spacing w:line="360" w:lineRule="auto"/>
        <w:jc w:val="both"/>
        <w:rPr>
          <w:rFonts w:ascii="Times New Roman" w:hAnsi="Times New Roman"/>
          <w:sz w:val="24"/>
          <w:szCs w:val="24"/>
        </w:rPr>
        <w:sectPr w:rsidR="00B61C78" w:rsidSect="00B61C78">
          <w:type w:val="continuous"/>
          <w:pgSz w:w="12240" w:h="15840"/>
          <w:pgMar w:top="1417" w:right="1701" w:bottom="1417" w:left="1701" w:header="708" w:footer="708" w:gutter="0"/>
          <w:cols w:num="2" w:space="708"/>
          <w:docGrid w:linePitch="360"/>
        </w:sectPr>
      </w:pPr>
    </w:p>
    <w:p w14:paraId="44378408" w14:textId="77777777" w:rsidR="00B61C78" w:rsidRDefault="00B61C78" w:rsidP="006541C1">
      <w:pPr>
        <w:spacing w:line="360" w:lineRule="auto"/>
        <w:jc w:val="both"/>
        <w:rPr>
          <w:rFonts w:ascii="Times New Roman" w:hAnsi="Times New Roman"/>
          <w:sz w:val="24"/>
          <w:szCs w:val="24"/>
        </w:rPr>
      </w:pPr>
    </w:p>
    <w:p w14:paraId="08B0F39F" w14:textId="77777777" w:rsidR="006541C1" w:rsidRPr="00A32432" w:rsidRDefault="006541C1" w:rsidP="006541C1">
      <w:pPr>
        <w:spacing w:line="360" w:lineRule="auto"/>
        <w:jc w:val="both"/>
        <w:rPr>
          <w:rFonts w:ascii="Times New Roman" w:eastAsia="Times New Roman" w:hAnsi="Times New Roman" w:cs="Times New Roman"/>
          <w:b/>
          <w:bCs/>
          <w:color w:val="000000"/>
          <w:sz w:val="24"/>
          <w:szCs w:val="24"/>
          <w:lang w:val="es-ES" w:eastAsia="es-ES"/>
        </w:rPr>
      </w:pPr>
      <w:r>
        <w:rPr>
          <w:rFonts w:ascii="Times New Roman" w:eastAsia="Times New Roman" w:hAnsi="Times New Roman" w:cs="Times New Roman"/>
          <w:b/>
          <w:bCs/>
          <w:color w:val="000000"/>
          <w:sz w:val="24"/>
          <w:szCs w:val="24"/>
          <w:lang w:val="es-ES" w:eastAsia="es-ES"/>
        </w:rPr>
        <w:t>Referencias bibliográficas</w:t>
      </w:r>
    </w:p>
    <w:p w14:paraId="18FD9E01" w14:textId="77777777" w:rsidR="00B61C78" w:rsidRDefault="00B61C78" w:rsidP="00B61C78">
      <w:pPr>
        <w:spacing w:line="360" w:lineRule="auto"/>
        <w:jc w:val="both"/>
        <w:rPr>
          <w:rFonts w:ascii="Times New Roman" w:hAnsi="Times New Roman"/>
          <w:sz w:val="24"/>
          <w:szCs w:val="24"/>
          <w:lang w:val="pt-BR"/>
        </w:rPr>
        <w:sectPr w:rsidR="00B61C78" w:rsidSect="00C1077D">
          <w:type w:val="continuous"/>
          <w:pgSz w:w="12240" w:h="15840"/>
          <w:pgMar w:top="1417" w:right="1701" w:bottom="1417" w:left="1701" w:header="708" w:footer="708" w:gutter="0"/>
          <w:cols w:space="708"/>
          <w:docGrid w:linePitch="360"/>
        </w:sectPr>
      </w:pPr>
    </w:p>
    <w:p w14:paraId="4370A9AE" w14:textId="1E1F50FF" w:rsidR="00EC464A" w:rsidRPr="00AC2B8E" w:rsidRDefault="00EC464A" w:rsidP="007028C9">
      <w:pPr>
        <w:spacing w:line="240" w:lineRule="auto"/>
        <w:jc w:val="both"/>
        <w:rPr>
          <w:rFonts w:ascii="Times New Roman" w:hAnsi="Times New Roman" w:cs="Times New Roman"/>
        </w:rPr>
      </w:pPr>
      <w:r w:rsidRPr="00AC2B8E">
        <w:rPr>
          <w:rFonts w:ascii="Times New Roman" w:hAnsi="Times New Roman" w:cs="Times New Roman"/>
          <w:lang w:val="pt-BR"/>
        </w:rPr>
        <w:t xml:space="preserve">Almeida-Costa, T., Cunha-Lima, M. A., Kniess, I., Marques-Vieira, L., &amp; Delmondes-Freitas Trindade, L. M. (2021). </w:t>
      </w:r>
      <w:r w:rsidRPr="00AC2B8E">
        <w:rPr>
          <w:rFonts w:ascii="Times New Roman" w:hAnsi="Times New Roman" w:cs="Times New Roman"/>
        </w:rPr>
        <w:t>Cambios en la función hepática causados por COVID-19 y su impacto en el resultado clínico del paciente: una revisión sistemática. Revista colombiana de Gastroenterología, 36(3), 302-312.</w:t>
      </w:r>
    </w:p>
    <w:p w14:paraId="7B45FAAE" w14:textId="69592C9A" w:rsidR="00AC2B8E" w:rsidRPr="00205B3A" w:rsidRDefault="00AC2B8E" w:rsidP="007028C9">
      <w:pPr>
        <w:spacing w:line="240" w:lineRule="auto"/>
        <w:jc w:val="both"/>
        <w:rPr>
          <w:rFonts w:ascii="Times New Roman" w:hAnsi="Times New Roman" w:cs="Times New Roman"/>
          <w:color w:val="212121"/>
          <w:shd w:val="clear" w:color="auto" w:fill="FFFFFF"/>
          <w:lang w:val="en-US"/>
        </w:rPr>
      </w:pPr>
      <w:r w:rsidRPr="00AC2B8E">
        <w:rPr>
          <w:rFonts w:ascii="Times New Roman" w:hAnsi="Times New Roman" w:cs="Times New Roman"/>
          <w:color w:val="212121"/>
          <w:shd w:val="clear" w:color="auto" w:fill="FFFFFF"/>
        </w:rPr>
        <w:t xml:space="preserve">Cha MH, Regueiro M, Sandhu DS. </w:t>
      </w:r>
      <w:r w:rsidRPr="00205B3A">
        <w:rPr>
          <w:rFonts w:ascii="Times New Roman" w:hAnsi="Times New Roman" w:cs="Times New Roman"/>
          <w:color w:val="212121"/>
          <w:shd w:val="clear" w:color="auto" w:fill="FFFFFF"/>
          <w:lang w:val="en-US"/>
        </w:rPr>
        <w:t>Gastrointestinal and hepatic manifestations of COVID-19: A comprehensive review. World J Gastroenterol. 2020 May 21;26(19):2323-2332. doi: 10.3748/wjg.v26.i19.2323. PMID: 32476796; PMCID: PMC7243653.</w:t>
      </w:r>
    </w:p>
    <w:p w14:paraId="1D111000" w14:textId="1332E0AE" w:rsidR="00AC2B8E" w:rsidRPr="00205B3A" w:rsidRDefault="00AC2B8E" w:rsidP="007028C9">
      <w:pPr>
        <w:spacing w:line="240" w:lineRule="auto"/>
        <w:jc w:val="both"/>
        <w:rPr>
          <w:rFonts w:ascii="Times New Roman" w:hAnsi="Times New Roman" w:cs="Times New Roman"/>
          <w:color w:val="212121"/>
          <w:shd w:val="clear" w:color="auto" w:fill="FFFFFF"/>
          <w:lang w:val="en-US"/>
        </w:rPr>
      </w:pPr>
      <w:r w:rsidRPr="00205B3A">
        <w:rPr>
          <w:rFonts w:ascii="Times New Roman" w:hAnsi="Times New Roman" w:cs="Times New Roman"/>
          <w:color w:val="212121"/>
          <w:shd w:val="clear" w:color="auto" w:fill="FFFFFF"/>
          <w:lang w:val="en-US"/>
        </w:rPr>
        <w:t>Dou Q, Wei X, Zhou K, Yang S, Jia P. Cardiovascular Manifestations and Mechanisms in Patients with COVID-19. Trends Endocrinol Metab. 2020 Dec;31(12):893-904. doi: 10.1016/j.tem.2020.10.001. Epub 2020 Oct 16. PMID: 33172748; PMCID: PMC7566786.</w:t>
      </w:r>
    </w:p>
    <w:p w14:paraId="32731BE8" w14:textId="3D6AA87C" w:rsidR="00AC2B8E" w:rsidRDefault="00AC2B8E" w:rsidP="007028C9">
      <w:pPr>
        <w:spacing w:line="240" w:lineRule="auto"/>
        <w:jc w:val="both"/>
        <w:rPr>
          <w:rFonts w:ascii="Times New Roman" w:hAnsi="Times New Roman" w:cs="Times New Roman"/>
          <w:color w:val="212121"/>
          <w:shd w:val="clear" w:color="auto" w:fill="FFFFFF"/>
        </w:rPr>
      </w:pPr>
      <w:r w:rsidRPr="00205B3A">
        <w:rPr>
          <w:rFonts w:ascii="Times New Roman" w:hAnsi="Times New Roman" w:cs="Times New Roman"/>
          <w:color w:val="212121"/>
          <w:shd w:val="clear" w:color="auto" w:fill="FFFFFF"/>
          <w:lang w:val="en-US"/>
        </w:rPr>
        <w:t xml:space="preserve">Harapan BN, Yoo HJ. Neurological symptoms, manifestations, and complications associated with severe acute respiratory syndrome coronavirus 2 (SARS-CoV-2) and coronavirus disease 19 (COVID-19). </w:t>
      </w:r>
      <w:r w:rsidRPr="00AC2B8E">
        <w:rPr>
          <w:rFonts w:ascii="Times New Roman" w:hAnsi="Times New Roman" w:cs="Times New Roman"/>
          <w:color w:val="212121"/>
          <w:shd w:val="clear" w:color="auto" w:fill="FFFFFF"/>
        </w:rPr>
        <w:t xml:space="preserve">J Neurol. 2021 </w:t>
      </w:r>
      <w:r w:rsidRPr="00AC2B8E">
        <w:rPr>
          <w:rFonts w:ascii="Times New Roman" w:hAnsi="Times New Roman" w:cs="Times New Roman"/>
          <w:color w:val="212121"/>
          <w:shd w:val="clear" w:color="auto" w:fill="FFFFFF"/>
        </w:rPr>
        <w:t>Sep;268(9):3059-3071. doi: 10.1007/s00415-021-10406-y. Epub 2021 Jan 23. PMID: 33486564; PMCID: PMC7826147.</w:t>
      </w:r>
    </w:p>
    <w:p w14:paraId="3FCE68E0" w14:textId="552AA96C" w:rsidR="007028C9" w:rsidRPr="007028C9" w:rsidRDefault="007028C9" w:rsidP="007028C9">
      <w:pPr>
        <w:spacing w:line="240" w:lineRule="auto"/>
        <w:jc w:val="both"/>
        <w:rPr>
          <w:rFonts w:ascii="Times New Roman" w:hAnsi="Times New Roman" w:cs="Times New Roman"/>
        </w:rPr>
      </w:pPr>
      <w:r w:rsidRPr="007028C9">
        <w:rPr>
          <w:rFonts w:ascii="Times New Roman" w:hAnsi="Times New Roman" w:cs="Times New Roman"/>
          <w:color w:val="212121"/>
          <w:shd w:val="clear" w:color="auto" w:fill="FFFFFF"/>
        </w:rPr>
        <w:t>Rai P, Kumar BK, Deekshit VK, Karunasagar I, Karunasagar I. Detection technologies and recent developments in the diagnosis of COVID-19 infection. Appl Microbiol Biotechnol. 2021 Jan;105(2):441-455. doi: 10.1007/s00253-020-11061-5. Epub 2021 Jan 4. PMID: 33394144; PMCID: PMC7780074.</w:t>
      </w:r>
    </w:p>
    <w:p w14:paraId="542A5D4A" w14:textId="356FC79F" w:rsidR="00EC464A" w:rsidRDefault="00EC464A" w:rsidP="007028C9">
      <w:pPr>
        <w:spacing w:line="240" w:lineRule="auto"/>
        <w:jc w:val="both"/>
        <w:rPr>
          <w:rFonts w:ascii="Times New Roman" w:hAnsi="Times New Roman" w:cs="Times New Roman"/>
        </w:rPr>
      </w:pPr>
      <w:r w:rsidRPr="00AC2B8E">
        <w:rPr>
          <w:rFonts w:ascii="Times New Roman" w:hAnsi="Times New Roman" w:cs="Times New Roman"/>
        </w:rPr>
        <w:t>Tirado Romero, G. I., &amp; Moran Marín, L. Y. (2021). Alteraciones de la función hepática en los pacientes infectados por covid-19 remitidos a UCI en el año 2020 a través del SCORE MELD en una institución prestadora de servicios en salud de Barranquilla (At, Co).</w:t>
      </w:r>
    </w:p>
    <w:p w14:paraId="54A35977" w14:textId="7B38BB85" w:rsidR="00B61C78" w:rsidRPr="007028C9" w:rsidRDefault="00AC2B8E" w:rsidP="007028C9">
      <w:pPr>
        <w:spacing w:line="240" w:lineRule="auto"/>
        <w:jc w:val="both"/>
        <w:rPr>
          <w:rFonts w:ascii="Times New Roman" w:hAnsi="Times New Roman" w:cs="Times New Roman"/>
        </w:rPr>
        <w:sectPr w:rsidR="00B61C78" w:rsidRPr="007028C9" w:rsidSect="00B61C78">
          <w:type w:val="continuous"/>
          <w:pgSz w:w="12240" w:h="15840"/>
          <w:pgMar w:top="1417" w:right="1701" w:bottom="1417" w:left="1701" w:header="708" w:footer="708" w:gutter="0"/>
          <w:cols w:num="2" w:space="708"/>
          <w:docGrid w:linePitch="360"/>
        </w:sectPr>
      </w:pPr>
      <w:r w:rsidRPr="00AC2B8E">
        <w:rPr>
          <w:rFonts w:ascii="Times New Roman" w:hAnsi="Times New Roman" w:cs="Times New Roman"/>
          <w:color w:val="212121"/>
          <w:shd w:val="clear" w:color="auto" w:fill="FFFFFF"/>
        </w:rPr>
        <w:t>Umakanthan S, Sahu P, Ranade AV, Bukelo MM, Rao JS, Abrahao-Machado LF, Dahal S, Kumar H, Kv D. Origin, transmission, diagnosis and management of coronavirus disease 2019 (COVID-19). Postgrad Med J. 2020 Dec;96(1142):753-758. doi: 10.1136/postgradmedj-2020-138234. Epub 2020 Jun 20. PMID: 32563999.</w:t>
      </w:r>
    </w:p>
    <w:p w14:paraId="74D420A3" w14:textId="08F501F5" w:rsidR="007028C9" w:rsidRDefault="007028C9" w:rsidP="006541C1">
      <w:pPr>
        <w:spacing w:line="360" w:lineRule="auto"/>
        <w:jc w:val="both"/>
        <w:rPr>
          <w:rFonts w:ascii="Times New Roman" w:hAnsi="Times New Roman"/>
          <w:b/>
          <w:bCs/>
          <w:sz w:val="24"/>
          <w:szCs w:val="24"/>
        </w:rPr>
      </w:pPr>
    </w:p>
    <w:p w14:paraId="3A58C77B" w14:textId="7AE98B5A" w:rsidR="007028C9" w:rsidRDefault="007028C9" w:rsidP="006541C1">
      <w:pPr>
        <w:spacing w:line="360" w:lineRule="auto"/>
        <w:jc w:val="both"/>
        <w:rPr>
          <w:rFonts w:ascii="Times New Roman" w:hAnsi="Times New Roman"/>
          <w:b/>
          <w:bCs/>
          <w:sz w:val="24"/>
          <w:szCs w:val="24"/>
        </w:rPr>
      </w:pPr>
    </w:p>
    <w:p w14:paraId="6C93FB72" w14:textId="04223915" w:rsidR="007028C9" w:rsidRDefault="007028C9" w:rsidP="006541C1">
      <w:pPr>
        <w:spacing w:line="360" w:lineRule="auto"/>
        <w:jc w:val="both"/>
        <w:rPr>
          <w:rFonts w:ascii="Times New Roman" w:hAnsi="Times New Roman"/>
          <w:b/>
          <w:bCs/>
          <w:sz w:val="24"/>
          <w:szCs w:val="24"/>
        </w:rPr>
      </w:pPr>
    </w:p>
    <w:p w14:paraId="2FF48710" w14:textId="52EE3FA3" w:rsidR="007028C9" w:rsidRDefault="007028C9" w:rsidP="006541C1">
      <w:pPr>
        <w:spacing w:line="360" w:lineRule="auto"/>
        <w:jc w:val="both"/>
        <w:rPr>
          <w:rFonts w:ascii="Times New Roman" w:hAnsi="Times New Roman"/>
          <w:b/>
          <w:bCs/>
          <w:sz w:val="24"/>
          <w:szCs w:val="24"/>
        </w:rPr>
      </w:pPr>
    </w:p>
    <w:p w14:paraId="190C2D5A" w14:textId="0334A712" w:rsidR="007028C9" w:rsidRDefault="007028C9" w:rsidP="006541C1">
      <w:pPr>
        <w:spacing w:line="360" w:lineRule="auto"/>
        <w:jc w:val="both"/>
        <w:rPr>
          <w:rFonts w:ascii="Times New Roman" w:hAnsi="Times New Roman"/>
          <w:b/>
          <w:bCs/>
          <w:sz w:val="24"/>
          <w:szCs w:val="24"/>
        </w:rPr>
      </w:pPr>
    </w:p>
    <w:p w14:paraId="15FA1B0F" w14:textId="36ECC6CC" w:rsidR="007028C9" w:rsidRDefault="007028C9" w:rsidP="006541C1">
      <w:pPr>
        <w:spacing w:line="360" w:lineRule="auto"/>
        <w:jc w:val="both"/>
        <w:rPr>
          <w:rFonts w:ascii="Times New Roman" w:hAnsi="Times New Roman"/>
          <w:b/>
          <w:bCs/>
          <w:sz w:val="24"/>
          <w:szCs w:val="24"/>
        </w:rPr>
      </w:pPr>
    </w:p>
    <w:p w14:paraId="3493615E" w14:textId="150B2426" w:rsidR="007028C9" w:rsidRDefault="007028C9" w:rsidP="006541C1">
      <w:pPr>
        <w:spacing w:line="360" w:lineRule="auto"/>
        <w:jc w:val="both"/>
        <w:rPr>
          <w:rFonts w:ascii="Times New Roman" w:hAnsi="Times New Roman"/>
          <w:b/>
          <w:bCs/>
          <w:sz w:val="24"/>
          <w:szCs w:val="24"/>
        </w:rPr>
      </w:pPr>
    </w:p>
    <w:p w14:paraId="677686D7" w14:textId="491FD96B" w:rsidR="007028C9" w:rsidRDefault="007028C9" w:rsidP="006541C1">
      <w:pPr>
        <w:spacing w:line="360" w:lineRule="auto"/>
        <w:jc w:val="both"/>
        <w:rPr>
          <w:rFonts w:ascii="Times New Roman" w:hAnsi="Times New Roman"/>
          <w:b/>
          <w:bCs/>
          <w:sz w:val="24"/>
          <w:szCs w:val="24"/>
        </w:rPr>
      </w:pPr>
    </w:p>
    <w:p w14:paraId="65E4CC9D" w14:textId="158A8EB6" w:rsidR="007028C9" w:rsidRDefault="007028C9" w:rsidP="006541C1">
      <w:pPr>
        <w:spacing w:line="360" w:lineRule="auto"/>
        <w:jc w:val="both"/>
        <w:rPr>
          <w:rFonts w:ascii="Times New Roman" w:hAnsi="Times New Roman"/>
          <w:b/>
          <w:bCs/>
          <w:sz w:val="24"/>
          <w:szCs w:val="24"/>
        </w:rPr>
      </w:pPr>
    </w:p>
    <w:p w14:paraId="7F919044" w14:textId="0E586ABB" w:rsidR="007028C9" w:rsidRDefault="007028C9" w:rsidP="006541C1">
      <w:pPr>
        <w:spacing w:line="360" w:lineRule="auto"/>
        <w:jc w:val="both"/>
        <w:rPr>
          <w:rFonts w:ascii="Times New Roman" w:hAnsi="Times New Roman"/>
          <w:b/>
          <w:bCs/>
          <w:sz w:val="24"/>
          <w:szCs w:val="24"/>
        </w:rPr>
      </w:pPr>
    </w:p>
    <w:p w14:paraId="71033C4E" w14:textId="242D7B44" w:rsidR="007028C9" w:rsidRDefault="007028C9" w:rsidP="006541C1">
      <w:pPr>
        <w:spacing w:line="360" w:lineRule="auto"/>
        <w:jc w:val="both"/>
        <w:rPr>
          <w:rFonts w:ascii="Times New Roman" w:hAnsi="Times New Roman"/>
          <w:b/>
          <w:bCs/>
          <w:sz w:val="24"/>
          <w:szCs w:val="24"/>
        </w:rPr>
      </w:pPr>
    </w:p>
    <w:p w14:paraId="5695FAC7" w14:textId="77777777" w:rsidR="007028C9" w:rsidRDefault="007028C9" w:rsidP="006541C1">
      <w:pPr>
        <w:spacing w:line="360" w:lineRule="auto"/>
        <w:jc w:val="both"/>
        <w:rPr>
          <w:rFonts w:ascii="Times New Roman" w:hAnsi="Times New Roman"/>
          <w:b/>
          <w:bCs/>
          <w:sz w:val="24"/>
          <w:szCs w:val="24"/>
        </w:rPr>
      </w:pPr>
    </w:p>
    <w:p w14:paraId="69901EE6" w14:textId="36D77708" w:rsidR="006541C1" w:rsidRDefault="006541C1" w:rsidP="006541C1">
      <w:pPr>
        <w:spacing w:line="360" w:lineRule="auto"/>
        <w:jc w:val="both"/>
        <w:rPr>
          <w:rFonts w:ascii="Times New Roman" w:hAnsi="Times New Roman"/>
          <w:b/>
          <w:bCs/>
          <w:sz w:val="24"/>
          <w:szCs w:val="24"/>
        </w:rPr>
      </w:pPr>
      <w:r w:rsidRPr="00E04363">
        <w:rPr>
          <w:rFonts w:ascii="Times New Roman" w:hAnsi="Times New Roman"/>
          <w:b/>
          <w:bCs/>
          <w:sz w:val="24"/>
          <w:szCs w:val="24"/>
        </w:rPr>
        <w:t>TABLAS</w:t>
      </w:r>
    </w:p>
    <w:p w14:paraId="62AFB60E" w14:textId="40135807" w:rsidR="00EC464A" w:rsidRPr="0085605F" w:rsidRDefault="00EC464A" w:rsidP="00EC464A">
      <w:pPr>
        <w:jc w:val="center"/>
        <w:rPr>
          <w:rFonts w:ascii="Times New Roman" w:hAnsi="Times New Roman" w:cs="Times New Roman"/>
        </w:rPr>
      </w:pPr>
      <w:r w:rsidRPr="0085605F">
        <w:rPr>
          <w:rFonts w:ascii="Times New Roman" w:hAnsi="Times New Roman" w:cs="Times New Roman"/>
        </w:rPr>
        <w:t xml:space="preserve">TABLA 1. </w:t>
      </w:r>
      <w:r w:rsidR="0085605F">
        <w:rPr>
          <w:rFonts w:ascii="Times New Roman" w:hAnsi="Times New Roman" w:cs="Times New Roman"/>
        </w:rPr>
        <w:t xml:space="preserve"> Determinaciones  enzimáticas </w:t>
      </w:r>
    </w:p>
    <w:tbl>
      <w:tblPr>
        <w:tblW w:w="9760" w:type="dxa"/>
        <w:tblCellMar>
          <w:left w:w="70" w:type="dxa"/>
          <w:right w:w="70" w:type="dxa"/>
        </w:tblCellMar>
        <w:tblLook w:val="04A0" w:firstRow="1" w:lastRow="0" w:firstColumn="1" w:lastColumn="0" w:noHBand="0" w:noVBand="1"/>
      </w:tblPr>
      <w:tblGrid>
        <w:gridCol w:w="1480"/>
        <w:gridCol w:w="1480"/>
        <w:gridCol w:w="1320"/>
        <w:gridCol w:w="1320"/>
        <w:gridCol w:w="1320"/>
        <w:gridCol w:w="1420"/>
        <w:gridCol w:w="1420"/>
      </w:tblGrid>
      <w:tr w:rsidR="00EC464A" w14:paraId="4D7F560E" w14:textId="77777777" w:rsidTr="00EC464A">
        <w:trPr>
          <w:trHeight w:val="600"/>
        </w:trPr>
        <w:tc>
          <w:tcPr>
            <w:tcW w:w="1480" w:type="dxa"/>
            <w:shd w:val="clear" w:color="auto" w:fill="FFC000"/>
            <w:noWrap/>
            <w:vAlign w:val="center"/>
            <w:hideMark/>
          </w:tcPr>
          <w:p w14:paraId="09E81E1E"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PACIENTES</w:t>
            </w:r>
          </w:p>
        </w:tc>
        <w:tc>
          <w:tcPr>
            <w:tcW w:w="1480" w:type="dxa"/>
            <w:shd w:val="clear" w:color="auto" w:fill="FFC000"/>
            <w:noWrap/>
            <w:vAlign w:val="center"/>
            <w:hideMark/>
          </w:tcPr>
          <w:p w14:paraId="28D80F03" w14:textId="77777777" w:rsidR="00EC464A" w:rsidRDefault="00EC464A">
            <w:pPr>
              <w:spacing w:after="0" w:line="240" w:lineRule="auto"/>
              <w:ind w:firstLineChars="200" w:firstLine="440"/>
              <w:rPr>
                <w:rFonts w:ascii="Calibri" w:eastAsia="Times New Roman" w:hAnsi="Calibri" w:cs="Calibri"/>
                <w:color w:val="000000"/>
                <w:lang w:eastAsia="es-ES"/>
              </w:rPr>
            </w:pPr>
            <w:r>
              <w:rPr>
                <w:rFonts w:ascii="Calibri" w:eastAsia="Times New Roman" w:hAnsi="Calibri" w:cs="Calibri"/>
                <w:color w:val="000000"/>
                <w:lang w:eastAsia="es-ES"/>
              </w:rPr>
              <w:t>EDAD</w:t>
            </w:r>
          </w:p>
        </w:tc>
        <w:tc>
          <w:tcPr>
            <w:tcW w:w="1320" w:type="dxa"/>
            <w:shd w:val="clear" w:color="auto" w:fill="E2EFDA"/>
            <w:vAlign w:val="bottom"/>
            <w:hideMark/>
          </w:tcPr>
          <w:p w14:paraId="03C49CB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TGO/AST (UI/L)</w:t>
            </w:r>
          </w:p>
        </w:tc>
        <w:tc>
          <w:tcPr>
            <w:tcW w:w="1320" w:type="dxa"/>
            <w:shd w:val="clear" w:color="auto" w:fill="E2EFDA"/>
            <w:vAlign w:val="bottom"/>
            <w:hideMark/>
          </w:tcPr>
          <w:p w14:paraId="28BCDBE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TGP/ALT (UI/L)</w:t>
            </w:r>
          </w:p>
        </w:tc>
        <w:tc>
          <w:tcPr>
            <w:tcW w:w="1320" w:type="dxa"/>
            <w:shd w:val="clear" w:color="auto" w:fill="E2EFDA"/>
            <w:noWrap/>
            <w:vAlign w:val="center"/>
            <w:hideMark/>
          </w:tcPr>
          <w:p w14:paraId="704D8C2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ALP (UI/L)</w:t>
            </w:r>
          </w:p>
        </w:tc>
        <w:tc>
          <w:tcPr>
            <w:tcW w:w="1420" w:type="dxa"/>
            <w:shd w:val="clear" w:color="auto" w:fill="E2EFDA"/>
            <w:noWrap/>
            <w:vAlign w:val="center"/>
            <w:hideMark/>
          </w:tcPr>
          <w:p w14:paraId="6A05ABF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GGT (UI/L)</w:t>
            </w:r>
          </w:p>
        </w:tc>
        <w:tc>
          <w:tcPr>
            <w:tcW w:w="1420" w:type="dxa"/>
            <w:shd w:val="clear" w:color="auto" w:fill="E2EFDA"/>
            <w:noWrap/>
            <w:vAlign w:val="center"/>
            <w:hideMark/>
          </w:tcPr>
          <w:p w14:paraId="76A25AB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LDH (U/L)</w:t>
            </w:r>
          </w:p>
        </w:tc>
      </w:tr>
      <w:tr w:rsidR="00EC464A" w14:paraId="33026EED" w14:textId="77777777" w:rsidTr="00EC464A">
        <w:trPr>
          <w:trHeight w:val="300"/>
        </w:trPr>
        <w:tc>
          <w:tcPr>
            <w:tcW w:w="1480" w:type="dxa"/>
            <w:shd w:val="clear" w:color="auto" w:fill="FFF2CC"/>
            <w:noWrap/>
            <w:vAlign w:val="bottom"/>
            <w:hideMark/>
          </w:tcPr>
          <w:p w14:paraId="291531D3"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2D25443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71</w:t>
            </w:r>
          </w:p>
        </w:tc>
        <w:tc>
          <w:tcPr>
            <w:tcW w:w="1320" w:type="dxa"/>
            <w:shd w:val="clear" w:color="auto" w:fill="FFF2CC"/>
            <w:noWrap/>
            <w:hideMark/>
          </w:tcPr>
          <w:p w14:paraId="09B6E6A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25.3</w:t>
            </w:r>
          </w:p>
        </w:tc>
        <w:tc>
          <w:tcPr>
            <w:tcW w:w="1320" w:type="dxa"/>
            <w:shd w:val="clear" w:color="auto" w:fill="FFF2CC"/>
            <w:noWrap/>
            <w:hideMark/>
          </w:tcPr>
          <w:p w14:paraId="48BB1AA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46.7</w:t>
            </w:r>
          </w:p>
        </w:tc>
        <w:tc>
          <w:tcPr>
            <w:tcW w:w="1320" w:type="dxa"/>
            <w:shd w:val="clear" w:color="auto" w:fill="FFF2CC"/>
            <w:hideMark/>
          </w:tcPr>
          <w:p w14:paraId="4CFAB39D"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236.5</w:t>
            </w:r>
          </w:p>
        </w:tc>
        <w:tc>
          <w:tcPr>
            <w:tcW w:w="1420" w:type="dxa"/>
            <w:shd w:val="clear" w:color="auto" w:fill="FFF2CC"/>
            <w:noWrap/>
            <w:hideMark/>
          </w:tcPr>
          <w:p w14:paraId="48C96F4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42</w:t>
            </w:r>
          </w:p>
        </w:tc>
        <w:tc>
          <w:tcPr>
            <w:tcW w:w="1420" w:type="dxa"/>
            <w:shd w:val="clear" w:color="auto" w:fill="FFF2CC"/>
            <w:noWrap/>
            <w:hideMark/>
          </w:tcPr>
          <w:p w14:paraId="72BF613E"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325.05</w:t>
            </w:r>
          </w:p>
        </w:tc>
      </w:tr>
      <w:tr w:rsidR="00EC464A" w14:paraId="59C6E106" w14:textId="77777777" w:rsidTr="00EC464A">
        <w:trPr>
          <w:trHeight w:val="300"/>
        </w:trPr>
        <w:tc>
          <w:tcPr>
            <w:tcW w:w="1480" w:type="dxa"/>
            <w:shd w:val="clear" w:color="auto" w:fill="FFF2CC"/>
            <w:noWrap/>
            <w:vAlign w:val="bottom"/>
            <w:hideMark/>
          </w:tcPr>
          <w:p w14:paraId="7F66470C"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11C0861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65</w:t>
            </w:r>
          </w:p>
        </w:tc>
        <w:tc>
          <w:tcPr>
            <w:tcW w:w="1320" w:type="dxa"/>
            <w:shd w:val="clear" w:color="auto" w:fill="FFF2CC"/>
            <w:noWrap/>
            <w:hideMark/>
          </w:tcPr>
          <w:p w14:paraId="21E57F4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26.9</w:t>
            </w:r>
          </w:p>
        </w:tc>
        <w:tc>
          <w:tcPr>
            <w:tcW w:w="1320" w:type="dxa"/>
            <w:shd w:val="clear" w:color="auto" w:fill="FFF2CC"/>
            <w:noWrap/>
            <w:hideMark/>
          </w:tcPr>
          <w:p w14:paraId="7C503C2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18.8</w:t>
            </w:r>
          </w:p>
        </w:tc>
        <w:tc>
          <w:tcPr>
            <w:tcW w:w="1320" w:type="dxa"/>
            <w:shd w:val="clear" w:color="auto" w:fill="FFF2CC"/>
            <w:noWrap/>
            <w:hideMark/>
          </w:tcPr>
          <w:p w14:paraId="2D2085F3"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358</w:t>
            </w:r>
          </w:p>
        </w:tc>
        <w:tc>
          <w:tcPr>
            <w:tcW w:w="1420" w:type="dxa"/>
            <w:shd w:val="clear" w:color="auto" w:fill="FFF2CC"/>
            <w:noWrap/>
            <w:hideMark/>
          </w:tcPr>
          <w:p w14:paraId="53BF96C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20</w:t>
            </w:r>
          </w:p>
        </w:tc>
        <w:tc>
          <w:tcPr>
            <w:tcW w:w="1420" w:type="dxa"/>
            <w:shd w:val="clear" w:color="auto" w:fill="FFF2CC"/>
            <w:noWrap/>
            <w:hideMark/>
          </w:tcPr>
          <w:p w14:paraId="7807AEB9"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463</w:t>
            </w:r>
          </w:p>
        </w:tc>
      </w:tr>
      <w:tr w:rsidR="00EC464A" w14:paraId="2452AB18" w14:textId="77777777" w:rsidTr="00EC464A">
        <w:trPr>
          <w:trHeight w:val="300"/>
        </w:trPr>
        <w:tc>
          <w:tcPr>
            <w:tcW w:w="1480" w:type="dxa"/>
            <w:shd w:val="clear" w:color="auto" w:fill="FFF2CC"/>
            <w:noWrap/>
            <w:vAlign w:val="bottom"/>
            <w:hideMark/>
          </w:tcPr>
          <w:p w14:paraId="3DB379B9"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2951802E"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65</w:t>
            </w:r>
          </w:p>
        </w:tc>
        <w:tc>
          <w:tcPr>
            <w:tcW w:w="1320" w:type="dxa"/>
            <w:shd w:val="clear" w:color="auto" w:fill="FFF2CC"/>
            <w:noWrap/>
            <w:hideMark/>
          </w:tcPr>
          <w:p w14:paraId="36AF339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26.9</w:t>
            </w:r>
          </w:p>
        </w:tc>
        <w:tc>
          <w:tcPr>
            <w:tcW w:w="1320" w:type="dxa"/>
            <w:shd w:val="clear" w:color="auto" w:fill="FFF2CC"/>
            <w:noWrap/>
            <w:hideMark/>
          </w:tcPr>
          <w:p w14:paraId="7A5BCBC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18.8</w:t>
            </w:r>
          </w:p>
        </w:tc>
        <w:tc>
          <w:tcPr>
            <w:tcW w:w="1320" w:type="dxa"/>
            <w:shd w:val="clear" w:color="auto" w:fill="FFF2CC"/>
            <w:noWrap/>
            <w:hideMark/>
          </w:tcPr>
          <w:p w14:paraId="2EA55E8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358</w:t>
            </w:r>
          </w:p>
        </w:tc>
        <w:tc>
          <w:tcPr>
            <w:tcW w:w="1420" w:type="dxa"/>
            <w:shd w:val="clear" w:color="auto" w:fill="FFF2CC"/>
            <w:noWrap/>
            <w:hideMark/>
          </w:tcPr>
          <w:p w14:paraId="1928DED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20</w:t>
            </w:r>
          </w:p>
        </w:tc>
        <w:tc>
          <w:tcPr>
            <w:tcW w:w="1420" w:type="dxa"/>
            <w:shd w:val="clear" w:color="auto" w:fill="FFF2CC"/>
            <w:noWrap/>
            <w:hideMark/>
          </w:tcPr>
          <w:p w14:paraId="4FF926C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463</w:t>
            </w:r>
          </w:p>
        </w:tc>
      </w:tr>
      <w:tr w:rsidR="00EC464A" w14:paraId="56E33EFD" w14:textId="77777777" w:rsidTr="00EC464A">
        <w:trPr>
          <w:trHeight w:val="300"/>
        </w:trPr>
        <w:tc>
          <w:tcPr>
            <w:tcW w:w="1480" w:type="dxa"/>
            <w:shd w:val="clear" w:color="auto" w:fill="FFF2CC"/>
            <w:noWrap/>
            <w:vAlign w:val="bottom"/>
            <w:hideMark/>
          </w:tcPr>
          <w:p w14:paraId="127A6DAC"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7DCE0A9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56</w:t>
            </w:r>
          </w:p>
        </w:tc>
        <w:tc>
          <w:tcPr>
            <w:tcW w:w="1320" w:type="dxa"/>
            <w:shd w:val="clear" w:color="auto" w:fill="FFF2CC"/>
            <w:noWrap/>
            <w:hideMark/>
          </w:tcPr>
          <w:p w14:paraId="6478478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39.5</w:t>
            </w:r>
          </w:p>
        </w:tc>
        <w:tc>
          <w:tcPr>
            <w:tcW w:w="1320" w:type="dxa"/>
            <w:shd w:val="clear" w:color="auto" w:fill="FFF2CC"/>
            <w:noWrap/>
            <w:hideMark/>
          </w:tcPr>
          <w:p w14:paraId="755CBA6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48.1</w:t>
            </w:r>
          </w:p>
        </w:tc>
        <w:tc>
          <w:tcPr>
            <w:tcW w:w="1320" w:type="dxa"/>
            <w:shd w:val="clear" w:color="auto" w:fill="FFF2CC"/>
            <w:noWrap/>
            <w:hideMark/>
          </w:tcPr>
          <w:p w14:paraId="0168737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226</w:t>
            </w:r>
          </w:p>
        </w:tc>
        <w:tc>
          <w:tcPr>
            <w:tcW w:w="1420" w:type="dxa"/>
            <w:shd w:val="clear" w:color="auto" w:fill="FFF2CC"/>
            <w:noWrap/>
            <w:hideMark/>
          </w:tcPr>
          <w:p w14:paraId="1F215E2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38</w:t>
            </w:r>
          </w:p>
        </w:tc>
        <w:tc>
          <w:tcPr>
            <w:tcW w:w="1420" w:type="dxa"/>
            <w:shd w:val="clear" w:color="auto" w:fill="FFF2CC"/>
            <w:noWrap/>
            <w:hideMark/>
          </w:tcPr>
          <w:p w14:paraId="5E25455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437</w:t>
            </w:r>
          </w:p>
        </w:tc>
      </w:tr>
      <w:tr w:rsidR="00EC464A" w14:paraId="3C6C5F93" w14:textId="77777777" w:rsidTr="00EC464A">
        <w:trPr>
          <w:trHeight w:val="300"/>
        </w:trPr>
        <w:tc>
          <w:tcPr>
            <w:tcW w:w="1480" w:type="dxa"/>
            <w:shd w:val="clear" w:color="auto" w:fill="FFF2CC"/>
            <w:noWrap/>
            <w:vAlign w:val="bottom"/>
            <w:hideMark/>
          </w:tcPr>
          <w:p w14:paraId="66F4609A"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482AD4F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52</w:t>
            </w:r>
          </w:p>
        </w:tc>
        <w:tc>
          <w:tcPr>
            <w:tcW w:w="1320" w:type="dxa"/>
            <w:shd w:val="clear" w:color="auto" w:fill="FFF2CC"/>
            <w:noWrap/>
            <w:hideMark/>
          </w:tcPr>
          <w:p w14:paraId="2E395D4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139</w:t>
            </w:r>
          </w:p>
        </w:tc>
        <w:tc>
          <w:tcPr>
            <w:tcW w:w="1320" w:type="dxa"/>
            <w:shd w:val="clear" w:color="auto" w:fill="FFF2CC"/>
            <w:noWrap/>
            <w:hideMark/>
          </w:tcPr>
          <w:p w14:paraId="69BC3A3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180</w:t>
            </w:r>
          </w:p>
        </w:tc>
        <w:tc>
          <w:tcPr>
            <w:tcW w:w="1320" w:type="dxa"/>
            <w:shd w:val="clear" w:color="auto" w:fill="FFF2CC"/>
            <w:noWrap/>
            <w:hideMark/>
          </w:tcPr>
          <w:p w14:paraId="75115BFD"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141</w:t>
            </w:r>
          </w:p>
        </w:tc>
        <w:tc>
          <w:tcPr>
            <w:tcW w:w="1420" w:type="dxa"/>
            <w:shd w:val="clear" w:color="auto" w:fill="FFF2CC"/>
            <w:noWrap/>
            <w:hideMark/>
          </w:tcPr>
          <w:p w14:paraId="3602F23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146</w:t>
            </w:r>
          </w:p>
        </w:tc>
        <w:tc>
          <w:tcPr>
            <w:tcW w:w="1420" w:type="dxa"/>
            <w:shd w:val="clear" w:color="auto" w:fill="FFF2CC"/>
            <w:noWrap/>
            <w:hideMark/>
          </w:tcPr>
          <w:p w14:paraId="2A132B2E"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280</w:t>
            </w:r>
          </w:p>
        </w:tc>
      </w:tr>
      <w:tr w:rsidR="00EC464A" w14:paraId="6B1F79F0" w14:textId="77777777" w:rsidTr="00EC464A">
        <w:trPr>
          <w:trHeight w:val="300"/>
        </w:trPr>
        <w:tc>
          <w:tcPr>
            <w:tcW w:w="1480" w:type="dxa"/>
            <w:shd w:val="clear" w:color="auto" w:fill="FFF2CC"/>
            <w:noWrap/>
            <w:vAlign w:val="bottom"/>
            <w:hideMark/>
          </w:tcPr>
          <w:p w14:paraId="249B5868"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769B44A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58</w:t>
            </w:r>
          </w:p>
        </w:tc>
        <w:tc>
          <w:tcPr>
            <w:tcW w:w="1320" w:type="dxa"/>
            <w:shd w:val="clear" w:color="auto" w:fill="FFF2CC"/>
            <w:noWrap/>
            <w:hideMark/>
          </w:tcPr>
          <w:p w14:paraId="3DA4ACD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35.7</w:t>
            </w:r>
          </w:p>
        </w:tc>
        <w:tc>
          <w:tcPr>
            <w:tcW w:w="1320" w:type="dxa"/>
            <w:shd w:val="clear" w:color="auto" w:fill="FFF2CC"/>
            <w:noWrap/>
            <w:hideMark/>
          </w:tcPr>
          <w:p w14:paraId="718720D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w:t>
            </w:r>
          </w:p>
        </w:tc>
        <w:tc>
          <w:tcPr>
            <w:tcW w:w="1320" w:type="dxa"/>
            <w:shd w:val="clear" w:color="auto" w:fill="FFF2CC"/>
            <w:noWrap/>
            <w:hideMark/>
          </w:tcPr>
          <w:p w14:paraId="68040AE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158.4</w:t>
            </w:r>
          </w:p>
        </w:tc>
        <w:tc>
          <w:tcPr>
            <w:tcW w:w="1420" w:type="dxa"/>
            <w:shd w:val="clear" w:color="auto" w:fill="FFF2CC"/>
            <w:noWrap/>
            <w:hideMark/>
          </w:tcPr>
          <w:p w14:paraId="7E22693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28</w:t>
            </w:r>
          </w:p>
        </w:tc>
        <w:tc>
          <w:tcPr>
            <w:tcW w:w="1420" w:type="dxa"/>
            <w:shd w:val="clear" w:color="auto" w:fill="FFF2CC"/>
            <w:noWrap/>
            <w:hideMark/>
          </w:tcPr>
          <w:p w14:paraId="092BA9D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221.64</w:t>
            </w:r>
          </w:p>
        </w:tc>
      </w:tr>
      <w:tr w:rsidR="00EC464A" w14:paraId="46002AD7" w14:textId="77777777" w:rsidTr="00EC464A">
        <w:trPr>
          <w:trHeight w:val="300"/>
        </w:trPr>
        <w:tc>
          <w:tcPr>
            <w:tcW w:w="1480" w:type="dxa"/>
            <w:shd w:val="clear" w:color="auto" w:fill="FFF2CC"/>
            <w:noWrap/>
            <w:vAlign w:val="bottom"/>
            <w:hideMark/>
          </w:tcPr>
          <w:p w14:paraId="3195EE6A"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5FE826A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48</w:t>
            </w:r>
          </w:p>
        </w:tc>
        <w:tc>
          <w:tcPr>
            <w:tcW w:w="1320" w:type="dxa"/>
            <w:shd w:val="clear" w:color="auto" w:fill="FFF2CC"/>
            <w:noWrap/>
            <w:hideMark/>
          </w:tcPr>
          <w:p w14:paraId="681FE62D"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35</w:t>
            </w:r>
          </w:p>
        </w:tc>
        <w:tc>
          <w:tcPr>
            <w:tcW w:w="1320" w:type="dxa"/>
            <w:shd w:val="clear" w:color="auto" w:fill="FFF2CC"/>
            <w:noWrap/>
            <w:hideMark/>
          </w:tcPr>
          <w:p w14:paraId="2ACE42D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42.1</w:t>
            </w:r>
          </w:p>
        </w:tc>
        <w:tc>
          <w:tcPr>
            <w:tcW w:w="1320" w:type="dxa"/>
            <w:shd w:val="clear" w:color="auto" w:fill="FFF2CC"/>
            <w:noWrap/>
            <w:hideMark/>
          </w:tcPr>
          <w:p w14:paraId="45E5DFB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165</w:t>
            </w:r>
          </w:p>
        </w:tc>
        <w:tc>
          <w:tcPr>
            <w:tcW w:w="1420" w:type="dxa"/>
            <w:shd w:val="clear" w:color="auto" w:fill="FFF2CC"/>
            <w:noWrap/>
            <w:hideMark/>
          </w:tcPr>
          <w:p w14:paraId="1EC3FAC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28</w:t>
            </w:r>
          </w:p>
        </w:tc>
        <w:tc>
          <w:tcPr>
            <w:tcW w:w="1420" w:type="dxa"/>
            <w:shd w:val="clear" w:color="auto" w:fill="FFF2CC"/>
            <w:noWrap/>
            <w:hideMark/>
          </w:tcPr>
          <w:p w14:paraId="5F7927FE"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216.7</w:t>
            </w:r>
          </w:p>
        </w:tc>
      </w:tr>
      <w:tr w:rsidR="00EC464A" w14:paraId="793CB4E7" w14:textId="77777777" w:rsidTr="00EC464A">
        <w:trPr>
          <w:trHeight w:val="300"/>
        </w:trPr>
        <w:tc>
          <w:tcPr>
            <w:tcW w:w="1480" w:type="dxa"/>
            <w:shd w:val="clear" w:color="auto" w:fill="FFF2CC"/>
            <w:noWrap/>
            <w:vAlign w:val="bottom"/>
            <w:hideMark/>
          </w:tcPr>
          <w:p w14:paraId="0F7865B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18E27DF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61</w:t>
            </w:r>
          </w:p>
        </w:tc>
        <w:tc>
          <w:tcPr>
            <w:tcW w:w="1320" w:type="dxa"/>
            <w:shd w:val="clear" w:color="auto" w:fill="FFF2CC"/>
            <w:noWrap/>
            <w:hideMark/>
          </w:tcPr>
          <w:p w14:paraId="440627F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40.1</w:t>
            </w:r>
          </w:p>
        </w:tc>
        <w:tc>
          <w:tcPr>
            <w:tcW w:w="1320" w:type="dxa"/>
            <w:shd w:val="clear" w:color="auto" w:fill="FFF2CC"/>
            <w:noWrap/>
            <w:hideMark/>
          </w:tcPr>
          <w:p w14:paraId="3B382F6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w:t>
            </w:r>
          </w:p>
        </w:tc>
        <w:tc>
          <w:tcPr>
            <w:tcW w:w="1320" w:type="dxa"/>
            <w:shd w:val="clear" w:color="auto" w:fill="FFF2CC"/>
            <w:noWrap/>
            <w:hideMark/>
          </w:tcPr>
          <w:p w14:paraId="757E97B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306.9</w:t>
            </w:r>
          </w:p>
        </w:tc>
        <w:tc>
          <w:tcPr>
            <w:tcW w:w="1420" w:type="dxa"/>
            <w:shd w:val="clear" w:color="auto" w:fill="FFF2CC"/>
            <w:noWrap/>
            <w:hideMark/>
          </w:tcPr>
          <w:p w14:paraId="148F54E0"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w:t>
            </w:r>
          </w:p>
        </w:tc>
        <w:tc>
          <w:tcPr>
            <w:tcW w:w="1420" w:type="dxa"/>
            <w:shd w:val="clear" w:color="auto" w:fill="FFF2CC"/>
            <w:noWrap/>
            <w:hideMark/>
          </w:tcPr>
          <w:p w14:paraId="59B7BF8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359.22</w:t>
            </w:r>
          </w:p>
        </w:tc>
      </w:tr>
      <w:tr w:rsidR="00EC464A" w14:paraId="07988C54" w14:textId="77777777" w:rsidTr="00EC464A">
        <w:trPr>
          <w:trHeight w:val="300"/>
        </w:trPr>
        <w:tc>
          <w:tcPr>
            <w:tcW w:w="1480" w:type="dxa"/>
            <w:shd w:val="clear" w:color="auto" w:fill="FFF2CC"/>
            <w:noWrap/>
            <w:vAlign w:val="bottom"/>
            <w:hideMark/>
          </w:tcPr>
          <w:p w14:paraId="28F4E799"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56659EC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77</w:t>
            </w:r>
          </w:p>
        </w:tc>
        <w:tc>
          <w:tcPr>
            <w:tcW w:w="1320" w:type="dxa"/>
            <w:shd w:val="clear" w:color="auto" w:fill="FFF2CC"/>
            <w:noWrap/>
            <w:hideMark/>
          </w:tcPr>
          <w:p w14:paraId="13898CC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42</w:t>
            </w:r>
          </w:p>
        </w:tc>
        <w:tc>
          <w:tcPr>
            <w:tcW w:w="1320" w:type="dxa"/>
            <w:shd w:val="clear" w:color="auto" w:fill="FFF2CC"/>
            <w:noWrap/>
            <w:hideMark/>
          </w:tcPr>
          <w:p w14:paraId="1EEB005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50.8</w:t>
            </w:r>
          </w:p>
        </w:tc>
        <w:tc>
          <w:tcPr>
            <w:tcW w:w="1320" w:type="dxa"/>
            <w:shd w:val="clear" w:color="auto" w:fill="FFF2CC"/>
            <w:noWrap/>
            <w:hideMark/>
          </w:tcPr>
          <w:p w14:paraId="3878029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227.7</w:t>
            </w:r>
          </w:p>
        </w:tc>
        <w:tc>
          <w:tcPr>
            <w:tcW w:w="1420" w:type="dxa"/>
            <w:shd w:val="clear" w:color="auto" w:fill="FFF2CC"/>
            <w:noWrap/>
            <w:hideMark/>
          </w:tcPr>
          <w:p w14:paraId="6F08023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w:t>
            </w:r>
          </w:p>
        </w:tc>
        <w:tc>
          <w:tcPr>
            <w:tcW w:w="1420" w:type="dxa"/>
            <w:shd w:val="clear" w:color="auto" w:fill="FFF2CC"/>
            <w:noWrap/>
            <w:hideMark/>
          </w:tcPr>
          <w:p w14:paraId="2148F98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265.9</w:t>
            </w:r>
          </w:p>
        </w:tc>
      </w:tr>
      <w:tr w:rsidR="00EC464A" w14:paraId="7667CDFC" w14:textId="77777777" w:rsidTr="00EC464A">
        <w:trPr>
          <w:trHeight w:val="300"/>
        </w:trPr>
        <w:tc>
          <w:tcPr>
            <w:tcW w:w="1480" w:type="dxa"/>
            <w:shd w:val="clear" w:color="auto" w:fill="FFF2CC"/>
            <w:noWrap/>
            <w:vAlign w:val="bottom"/>
            <w:hideMark/>
          </w:tcPr>
          <w:p w14:paraId="024C2A6B"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3F03EB5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50</w:t>
            </w:r>
          </w:p>
        </w:tc>
        <w:tc>
          <w:tcPr>
            <w:tcW w:w="1320" w:type="dxa"/>
            <w:shd w:val="clear" w:color="auto" w:fill="FFF2CC"/>
            <w:noWrap/>
            <w:hideMark/>
          </w:tcPr>
          <w:p w14:paraId="14674ED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34</w:t>
            </w:r>
          </w:p>
        </w:tc>
        <w:tc>
          <w:tcPr>
            <w:tcW w:w="1320" w:type="dxa"/>
            <w:shd w:val="clear" w:color="auto" w:fill="FFF2CC"/>
            <w:noWrap/>
            <w:hideMark/>
          </w:tcPr>
          <w:p w14:paraId="5A48FC8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w:t>
            </w:r>
          </w:p>
        </w:tc>
        <w:tc>
          <w:tcPr>
            <w:tcW w:w="1320" w:type="dxa"/>
            <w:shd w:val="clear" w:color="auto" w:fill="FFF2CC"/>
            <w:noWrap/>
            <w:hideMark/>
          </w:tcPr>
          <w:p w14:paraId="3D0CA02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308</w:t>
            </w:r>
          </w:p>
        </w:tc>
        <w:tc>
          <w:tcPr>
            <w:tcW w:w="1420" w:type="dxa"/>
            <w:shd w:val="clear" w:color="auto" w:fill="FFF2CC"/>
            <w:noWrap/>
            <w:hideMark/>
          </w:tcPr>
          <w:p w14:paraId="2868111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56</w:t>
            </w:r>
          </w:p>
        </w:tc>
        <w:tc>
          <w:tcPr>
            <w:tcW w:w="1420" w:type="dxa"/>
            <w:shd w:val="clear" w:color="auto" w:fill="FFF2CC"/>
            <w:noWrap/>
            <w:hideMark/>
          </w:tcPr>
          <w:p w14:paraId="3B63956A"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316</w:t>
            </w:r>
          </w:p>
        </w:tc>
      </w:tr>
      <w:tr w:rsidR="00EC464A" w14:paraId="3BC1CD00" w14:textId="77777777" w:rsidTr="00EC464A">
        <w:trPr>
          <w:trHeight w:val="300"/>
        </w:trPr>
        <w:tc>
          <w:tcPr>
            <w:tcW w:w="1480" w:type="dxa"/>
            <w:shd w:val="clear" w:color="auto" w:fill="FFF2CC"/>
            <w:noWrap/>
            <w:vAlign w:val="bottom"/>
            <w:hideMark/>
          </w:tcPr>
          <w:p w14:paraId="07562B8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0FD0413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63</w:t>
            </w:r>
          </w:p>
        </w:tc>
        <w:tc>
          <w:tcPr>
            <w:tcW w:w="1320" w:type="dxa"/>
            <w:shd w:val="clear" w:color="auto" w:fill="FFF2CC"/>
            <w:noWrap/>
            <w:hideMark/>
          </w:tcPr>
          <w:p w14:paraId="4363BCA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53.1</w:t>
            </w:r>
          </w:p>
        </w:tc>
        <w:tc>
          <w:tcPr>
            <w:tcW w:w="1320" w:type="dxa"/>
            <w:shd w:val="clear" w:color="auto" w:fill="FFF2CC"/>
            <w:noWrap/>
            <w:hideMark/>
          </w:tcPr>
          <w:p w14:paraId="6448C69A"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67</w:t>
            </w:r>
          </w:p>
        </w:tc>
        <w:tc>
          <w:tcPr>
            <w:tcW w:w="1320" w:type="dxa"/>
            <w:shd w:val="clear" w:color="auto" w:fill="FFF2CC"/>
            <w:noWrap/>
            <w:hideMark/>
          </w:tcPr>
          <w:p w14:paraId="56F7F8C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226</w:t>
            </w:r>
          </w:p>
        </w:tc>
        <w:tc>
          <w:tcPr>
            <w:tcW w:w="1420" w:type="dxa"/>
            <w:shd w:val="clear" w:color="auto" w:fill="FFF2CC"/>
            <w:noWrap/>
            <w:hideMark/>
          </w:tcPr>
          <w:p w14:paraId="020FEDA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51</w:t>
            </w:r>
          </w:p>
        </w:tc>
        <w:tc>
          <w:tcPr>
            <w:tcW w:w="1420" w:type="dxa"/>
            <w:shd w:val="clear" w:color="auto" w:fill="FFF2CC"/>
            <w:noWrap/>
            <w:hideMark/>
          </w:tcPr>
          <w:p w14:paraId="381C966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251</w:t>
            </w:r>
          </w:p>
        </w:tc>
      </w:tr>
      <w:tr w:rsidR="00EC464A" w14:paraId="35A86978" w14:textId="77777777" w:rsidTr="00EC464A">
        <w:trPr>
          <w:trHeight w:val="300"/>
        </w:trPr>
        <w:tc>
          <w:tcPr>
            <w:tcW w:w="1480" w:type="dxa"/>
            <w:shd w:val="clear" w:color="auto" w:fill="FFF2CC"/>
            <w:noWrap/>
            <w:vAlign w:val="bottom"/>
            <w:hideMark/>
          </w:tcPr>
          <w:p w14:paraId="14E2479A"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47E1A72D"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80</w:t>
            </w:r>
          </w:p>
        </w:tc>
        <w:tc>
          <w:tcPr>
            <w:tcW w:w="1320" w:type="dxa"/>
            <w:shd w:val="clear" w:color="auto" w:fill="FFF2CC"/>
            <w:noWrap/>
            <w:hideMark/>
          </w:tcPr>
          <w:p w14:paraId="36D7471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32.9</w:t>
            </w:r>
          </w:p>
        </w:tc>
        <w:tc>
          <w:tcPr>
            <w:tcW w:w="1320" w:type="dxa"/>
            <w:shd w:val="clear" w:color="auto" w:fill="FFF2CC"/>
            <w:noWrap/>
            <w:hideMark/>
          </w:tcPr>
          <w:p w14:paraId="7BCED36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19.4</w:t>
            </w:r>
          </w:p>
        </w:tc>
        <w:tc>
          <w:tcPr>
            <w:tcW w:w="1320" w:type="dxa"/>
            <w:shd w:val="clear" w:color="auto" w:fill="FFF2CC"/>
            <w:noWrap/>
            <w:hideMark/>
          </w:tcPr>
          <w:p w14:paraId="48903FE0"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175</w:t>
            </w:r>
          </w:p>
        </w:tc>
        <w:tc>
          <w:tcPr>
            <w:tcW w:w="1420" w:type="dxa"/>
            <w:shd w:val="clear" w:color="auto" w:fill="FFF2CC"/>
            <w:noWrap/>
            <w:hideMark/>
          </w:tcPr>
          <w:p w14:paraId="60EF562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19</w:t>
            </w:r>
          </w:p>
        </w:tc>
        <w:tc>
          <w:tcPr>
            <w:tcW w:w="1420" w:type="dxa"/>
            <w:shd w:val="clear" w:color="auto" w:fill="FFF2CC"/>
            <w:noWrap/>
            <w:hideMark/>
          </w:tcPr>
          <w:p w14:paraId="58C917F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593</w:t>
            </w:r>
          </w:p>
        </w:tc>
      </w:tr>
      <w:tr w:rsidR="00EC464A" w14:paraId="34862924" w14:textId="77777777" w:rsidTr="00EC464A">
        <w:trPr>
          <w:trHeight w:val="300"/>
        </w:trPr>
        <w:tc>
          <w:tcPr>
            <w:tcW w:w="1480" w:type="dxa"/>
            <w:shd w:val="clear" w:color="auto" w:fill="FFF2CC"/>
            <w:noWrap/>
            <w:vAlign w:val="bottom"/>
            <w:hideMark/>
          </w:tcPr>
          <w:p w14:paraId="18E2F02C"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552477B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83</w:t>
            </w:r>
          </w:p>
        </w:tc>
        <w:tc>
          <w:tcPr>
            <w:tcW w:w="1320" w:type="dxa"/>
            <w:shd w:val="clear" w:color="auto" w:fill="FFF2CC"/>
            <w:noWrap/>
            <w:hideMark/>
          </w:tcPr>
          <w:p w14:paraId="7311760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40.5</w:t>
            </w:r>
          </w:p>
        </w:tc>
        <w:tc>
          <w:tcPr>
            <w:tcW w:w="1320" w:type="dxa"/>
            <w:shd w:val="clear" w:color="auto" w:fill="FFF2CC"/>
            <w:noWrap/>
            <w:hideMark/>
          </w:tcPr>
          <w:p w14:paraId="7FE8EBF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48.1</w:t>
            </w:r>
          </w:p>
        </w:tc>
        <w:tc>
          <w:tcPr>
            <w:tcW w:w="1320" w:type="dxa"/>
            <w:shd w:val="clear" w:color="auto" w:fill="FFF2CC"/>
            <w:noWrap/>
            <w:hideMark/>
          </w:tcPr>
          <w:p w14:paraId="25B22AD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282</w:t>
            </w:r>
          </w:p>
        </w:tc>
        <w:tc>
          <w:tcPr>
            <w:tcW w:w="1420" w:type="dxa"/>
            <w:shd w:val="clear" w:color="auto" w:fill="FFF2CC"/>
            <w:noWrap/>
            <w:hideMark/>
          </w:tcPr>
          <w:p w14:paraId="3F22638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38</w:t>
            </w:r>
          </w:p>
        </w:tc>
        <w:tc>
          <w:tcPr>
            <w:tcW w:w="1420" w:type="dxa"/>
            <w:shd w:val="clear" w:color="auto" w:fill="FFF2CC"/>
            <w:noWrap/>
            <w:hideMark/>
          </w:tcPr>
          <w:p w14:paraId="255121B0"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573</w:t>
            </w:r>
          </w:p>
        </w:tc>
      </w:tr>
      <w:tr w:rsidR="00EC464A" w14:paraId="06CEC060" w14:textId="77777777" w:rsidTr="00EC464A">
        <w:trPr>
          <w:trHeight w:val="300"/>
        </w:trPr>
        <w:tc>
          <w:tcPr>
            <w:tcW w:w="1480" w:type="dxa"/>
            <w:shd w:val="clear" w:color="auto" w:fill="FFF2CC"/>
            <w:noWrap/>
            <w:vAlign w:val="bottom"/>
            <w:hideMark/>
          </w:tcPr>
          <w:p w14:paraId="19E51981"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0510320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67</w:t>
            </w:r>
          </w:p>
        </w:tc>
        <w:tc>
          <w:tcPr>
            <w:tcW w:w="1320" w:type="dxa"/>
            <w:shd w:val="clear" w:color="auto" w:fill="FFF2CC"/>
            <w:noWrap/>
            <w:hideMark/>
          </w:tcPr>
          <w:p w14:paraId="595BC09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42.1</w:t>
            </w:r>
          </w:p>
        </w:tc>
        <w:tc>
          <w:tcPr>
            <w:tcW w:w="1320" w:type="dxa"/>
            <w:shd w:val="clear" w:color="auto" w:fill="FFF2CC"/>
            <w:noWrap/>
            <w:hideMark/>
          </w:tcPr>
          <w:p w14:paraId="2FF7FB0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50</w:t>
            </w:r>
          </w:p>
        </w:tc>
        <w:tc>
          <w:tcPr>
            <w:tcW w:w="1320" w:type="dxa"/>
            <w:shd w:val="clear" w:color="auto" w:fill="FFF2CC"/>
            <w:noWrap/>
            <w:hideMark/>
          </w:tcPr>
          <w:p w14:paraId="57653E43"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158.4</w:t>
            </w:r>
          </w:p>
        </w:tc>
        <w:tc>
          <w:tcPr>
            <w:tcW w:w="1420" w:type="dxa"/>
            <w:shd w:val="clear" w:color="auto" w:fill="FFF2CC"/>
            <w:noWrap/>
            <w:hideMark/>
          </w:tcPr>
          <w:p w14:paraId="6212759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34</w:t>
            </w:r>
          </w:p>
        </w:tc>
        <w:tc>
          <w:tcPr>
            <w:tcW w:w="1420" w:type="dxa"/>
            <w:shd w:val="clear" w:color="auto" w:fill="FFF2CC"/>
            <w:noWrap/>
            <w:hideMark/>
          </w:tcPr>
          <w:p w14:paraId="793524B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277</w:t>
            </w:r>
          </w:p>
        </w:tc>
      </w:tr>
      <w:tr w:rsidR="00EC464A" w14:paraId="166FA7F8" w14:textId="77777777" w:rsidTr="00EC464A">
        <w:trPr>
          <w:trHeight w:val="300"/>
        </w:trPr>
        <w:tc>
          <w:tcPr>
            <w:tcW w:w="1480" w:type="dxa"/>
            <w:shd w:val="clear" w:color="auto" w:fill="FFF2CC"/>
            <w:noWrap/>
            <w:vAlign w:val="bottom"/>
            <w:hideMark/>
          </w:tcPr>
          <w:p w14:paraId="44B6DD6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3658403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54</w:t>
            </w:r>
          </w:p>
        </w:tc>
        <w:tc>
          <w:tcPr>
            <w:tcW w:w="1320" w:type="dxa"/>
            <w:shd w:val="clear" w:color="auto" w:fill="FFF2CC"/>
            <w:noWrap/>
            <w:hideMark/>
          </w:tcPr>
          <w:p w14:paraId="72A42D4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43.1</w:t>
            </w:r>
          </w:p>
        </w:tc>
        <w:tc>
          <w:tcPr>
            <w:tcW w:w="1320" w:type="dxa"/>
            <w:shd w:val="clear" w:color="auto" w:fill="FFF2CC"/>
            <w:noWrap/>
            <w:hideMark/>
          </w:tcPr>
          <w:p w14:paraId="1F692E6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57</w:t>
            </w:r>
          </w:p>
        </w:tc>
        <w:tc>
          <w:tcPr>
            <w:tcW w:w="1320" w:type="dxa"/>
            <w:shd w:val="clear" w:color="auto" w:fill="FFF2CC"/>
            <w:noWrap/>
            <w:hideMark/>
          </w:tcPr>
          <w:p w14:paraId="21269903"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138</w:t>
            </w:r>
          </w:p>
        </w:tc>
        <w:tc>
          <w:tcPr>
            <w:tcW w:w="1420" w:type="dxa"/>
            <w:shd w:val="clear" w:color="auto" w:fill="FFF2CC"/>
            <w:noWrap/>
            <w:hideMark/>
          </w:tcPr>
          <w:p w14:paraId="60C8CF4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69.7</w:t>
            </w:r>
          </w:p>
        </w:tc>
        <w:tc>
          <w:tcPr>
            <w:tcW w:w="1420" w:type="dxa"/>
            <w:shd w:val="clear" w:color="auto" w:fill="FFF2CC"/>
            <w:noWrap/>
            <w:hideMark/>
          </w:tcPr>
          <w:p w14:paraId="12C4795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291</w:t>
            </w:r>
          </w:p>
        </w:tc>
      </w:tr>
      <w:tr w:rsidR="00EC464A" w14:paraId="63DB4CFF" w14:textId="77777777" w:rsidTr="00EC464A">
        <w:trPr>
          <w:trHeight w:val="300"/>
        </w:trPr>
        <w:tc>
          <w:tcPr>
            <w:tcW w:w="1480" w:type="dxa"/>
            <w:shd w:val="clear" w:color="auto" w:fill="FFF2CC"/>
            <w:noWrap/>
            <w:vAlign w:val="bottom"/>
            <w:hideMark/>
          </w:tcPr>
          <w:p w14:paraId="548B92C2"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098A092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68</w:t>
            </w:r>
          </w:p>
        </w:tc>
        <w:tc>
          <w:tcPr>
            <w:tcW w:w="1320" w:type="dxa"/>
            <w:shd w:val="clear" w:color="auto" w:fill="FFF2CC"/>
            <w:noWrap/>
            <w:hideMark/>
          </w:tcPr>
          <w:p w14:paraId="0F8CD2A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32.1</w:t>
            </w:r>
          </w:p>
        </w:tc>
        <w:tc>
          <w:tcPr>
            <w:tcW w:w="1320" w:type="dxa"/>
            <w:shd w:val="clear" w:color="auto" w:fill="FFF2CC"/>
            <w:noWrap/>
            <w:hideMark/>
          </w:tcPr>
          <w:p w14:paraId="2879920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47</w:t>
            </w:r>
          </w:p>
        </w:tc>
        <w:tc>
          <w:tcPr>
            <w:tcW w:w="1320" w:type="dxa"/>
            <w:shd w:val="clear" w:color="auto" w:fill="FFF2CC"/>
            <w:noWrap/>
            <w:hideMark/>
          </w:tcPr>
          <w:p w14:paraId="5AE3F613"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197.75</w:t>
            </w:r>
          </w:p>
        </w:tc>
        <w:tc>
          <w:tcPr>
            <w:tcW w:w="1420" w:type="dxa"/>
            <w:shd w:val="clear" w:color="auto" w:fill="FFF2CC"/>
            <w:noWrap/>
            <w:hideMark/>
          </w:tcPr>
          <w:p w14:paraId="7664277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15.1</w:t>
            </w:r>
          </w:p>
        </w:tc>
        <w:tc>
          <w:tcPr>
            <w:tcW w:w="1420" w:type="dxa"/>
            <w:shd w:val="clear" w:color="auto" w:fill="FFF2CC"/>
            <w:noWrap/>
            <w:hideMark/>
          </w:tcPr>
          <w:p w14:paraId="7B4A138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191</w:t>
            </w:r>
          </w:p>
        </w:tc>
      </w:tr>
      <w:tr w:rsidR="00EC464A" w14:paraId="73956E58" w14:textId="77777777" w:rsidTr="00EC464A">
        <w:trPr>
          <w:trHeight w:val="300"/>
        </w:trPr>
        <w:tc>
          <w:tcPr>
            <w:tcW w:w="1480" w:type="dxa"/>
            <w:shd w:val="clear" w:color="auto" w:fill="FFF2CC"/>
            <w:noWrap/>
            <w:vAlign w:val="bottom"/>
            <w:hideMark/>
          </w:tcPr>
          <w:p w14:paraId="6F25CCB1"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182A9E6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87</w:t>
            </w:r>
          </w:p>
        </w:tc>
        <w:tc>
          <w:tcPr>
            <w:tcW w:w="1320" w:type="dxa"/>
            <w:shd w:val="clear" w:color="auto" w:fill="FFF2CC"/>
            <w:noWrap/>
            <w:hideMark/>
          </w:tcPr>
          <w:p w14:paraId="360AE7A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43.1</w:t>
            </w:r>
          </w:p>
        </w:tc>
        <w:tc>
          <w:tcPr>
            <w:tcW w:w="1320" w:type="dxa"/>
            <w:shd w:val="clear" w:color="auto" w:fill="FFF2CC"/>
            <w:noWrap/>
            <w:hideMark/>
          </w:tcPr>
          <w:p w14:paraId="5B65A12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57</w:t>
            </w:r>
          </w:p>
        </w:tc>
        <w:tc>
          <w:tcPr>
            <w:tcW w:w="1320" w:type="dxa"/>
            <w:shd w:val="clear" w:color="auto" w:fill="FFF2CC"/>
            <w:noWrap/>
            <w:hideMark/>
          </w:tcPr>
          <w:p w14:paraId="64E4F4F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138</w:t>
            </w:r>
          </w:p>
        </w:tc>
        <w:tc>
          <w:tcPr>
            <w:tcW w:w="1420" w:type="dxa"/>
            <w:shd w:val="clear" w:color="auto" w:fill="FFF2CC"/>
            <w:noWrap/>
            <w:hideMark/>
          </w:tcPr>
          <w:p w14:paraId="3E969BB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69.7</w:t>
            </w:r>
          </w:p>
        </w:tc>
        <w:tc>
          <w:tcPr>
            <w:tcW w:w="1420" w:type="dxa"/>
            <w:shd w:val="clear" w:color="auto" w:fill="FFF2CC"/>
            <w:noWrap/>
            <w:hideMark/>
          </w:tcPr>
          <w:p w14:paraId="32E0C29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291</w:t>
            </w:r>
          </w:p>
        </w:tc>
      </w:tr>
      <w:tr w:rsidR="00EC464A" w14:paraId="7AB0D0AA" w14:textId="77777777" w:rsidTr="00EC464A">
        <w:trPr>
          <w:trHeight w:val="300"/>
        </w:trPr>
        <w:tc>
          <w:tcPr>
            <w:tcW w:w="1480" w:type="dxa"/>
            <w:shd w:val="clear" w:color="auto" w:fill="FFF2CC"/>
            <w:noWrap/>
            <w:vAlign w:val="bottom"/>
            <w:hideMark/>
          </w:tcPr>
          <w:p w14:paraId="46B72A38"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7BDB70B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52</w:t>
            </w:r>
          </w:p>
        </w:tc>
        <w:tc>
          <w:tcPr>
            <w:tcW w:w="1320" w:type="dxa"/>
            <w:shd w:val="clear" w:color="auto" w:fill="FFF2CC"/>
            <w:noWrap/>
            <w:hideMark/>
          </w:tcPr>
          <w:p w14:paraId="2C81376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32.2</w:t>
            </w:r>
          </w:p>
        </w:tc>
        <w:tc>
          <w:tcPr>
            <w:tcW w:w="1320" w:type="dxa"/>
            <w:shd w:val="clear" w:color="auto" w:fill="FFF2CC"/>
            <w:noWrap/>
            <w:hideMark/>
          </w:tcPr>
          <w:p w14:paraId="7436AF4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31</w:t>
            </w:r>
          </w:p>
        </w:tc>
        <w:tc>
          <w:tcPr>
            <w:tcW w:w="1320" w:type="dxa"/>
            <w:shd w:val="clear" w:color="auto" w:fill="FFF2CC"/>
            <w:noWrap/>
            <w:hideMark/>
          </w:tcPr>
          <w:p w14:paraId="70EFEAB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138</w:t>
            </w:r>
          </w:p>
        </w:tc>
        <w:tc>
          <w:tcPr>
            <w:tcW w:w="1420" w:type="dxa"/>
            <w:shd w:val="clear" w:color="auto" w:fill="FFF2CC"/>
            <w:noWrap/>
            <w:hideMark/>
          </w:tcPr>
          <w:p w14:paraId="3F0D903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28.9</w:t>
            </w:r>
          </w:p>
        </w:tc>
        <w:tc>
          <w:tcPr>
            <w:tcW w:w="1420" w:type="dxa"/>
            <w:shd w:val="clear" w:color="auto" w:fill="FFF2CC"/>
            <w:noWrap/>
            <w:hideMark/>
          </w:tcPr>
          <w:p w14:paraId="06620D9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291</w:t>
            </w:r>
          </w:p>
        </w:tc>
      </w:tr>
      <w:tr w:rsidR="00EC464A" w14:paraId="6D130CE1" w14:textId="77777777" w:rsidTr="00EC464A">
        <w:trPr>
          <w:trHeight w:val="300"/>
        </w:trPr>
        <w:tc>
          <w:tcPr>
            <w:tcW w:w="1480" w:type="dxa"/>
            <w:shd w:val="clear" w:color="auto" w:fill="FFF2CC"/>
            <w:noWrap/>
            <w:vAlign w:val="bottom"/>
            <w:hideMark/>
          </w:tcPr>
          <w:p w14:paraId="6C42166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3E621EA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15</w:t>
            </w:r>
          </w:p>
        </w:tc>
        <w:tc>
          <w:tcPr>
            <w:tcW w:w="1320" w:type="dxa"/>
            <w:shd w:val="clear" w:color="auto" w:fill="FFF2CC"/>
            <w:noWrap/>
            <w:hideMark/>
          </w:tcPr>
          <w:p w14:paraId="553E86D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17.4</w:t>
            </w:r>
          </w:p>
        </w:tc>
        <w:tc>
          <w:tcPr>
            <w:tcW w:w="1320" w:type="dxa"/>
            <w:shd w:val="clear" w:color="auto" w:fill="FFF2CC"/>
            <w:noWrap/>
            <w:hideMark/>
          </w:tcPr>
          <w:p w14:paraId="5AC6E8D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11.7</w:t>
            </w:r>
          </w:p>
        </w:tc>
        <w:tc>
          <w:tcPr>
            <w:tcW w:w="1320" w:type="dxa"/>
            <w:shd w:val="clear" w:color="auto" w:fill="FFF2CC"/>
            <w:noWrap/>
            <w:hideMark/>
          </w:tcPr>
          <w:p w14:paraId="1BDECBE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197.75</w:t>
            </w:r>
          </w:p>
        </w:tc>
        <w:tc>
          <w:tcPr>
            <w:tcW w:w="1420" w:type="dxa"/>
            <w:shd w:val="clear" w:color="auto" w:fill="FFF2CC"/>
            <w:noWrap/>
            <w:hideMark/>
          </w:tcPr>
          <w:p w14:paraId="4D405FC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18.9</w:t>
            </w:r>
          </w:p>
        </w:tc>
        <w:tc>
          <w:tcPr>
            <w:tcW w:w="1420" w:type="dxa"/>
            <w:shd w:val="clear" w:color="auto" w:fill="FFF2CC"/>
            <w:noWrap/>
            <w:hideMark/>
          </w:tcPr>
          <w:p w14:paraId="39A7952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201</w:t>
            </w:r>
          </w:p>
        </w:tc>
      </w:tr>
      <w:tr w:rsidR="00EC464A" w14:paraId="4D2D27F1" w14:textId="77777777" w:rsidTr="00EC464A">
        <w:trPr>
          <w:trHeight w:val="300"/>
        </w:trPr>
        <w:tc>
          <w:tcPr>
            <w:tcW w:w="1480" w:type="dxa"/>
            <w:shd w:val="clear" w:color="auto" w:fill="FFF2CC"/>
            <w:noWrap/>
            <w:vAlign w:val="bottom"/>
            <w:hideMark/>
          </w:tcPr>
          <w:p w14:paraId="0EE207A8"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104C6B8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69</w:t>
            </w:r>
          </w:p>
        </w:tc>
        <w:tc>
          <w:tcPr>
            <w:tcW w:w="1320" w:type="dxa"/>
            <w:shd w:val="clear" w:color="auto" w:fill="FFF2CC"/>
            <w:noWrap/>
            <w:hideMark/>
          </w:tcPr>
          <w:p w14:paraId="5EC52BE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42.1</w:t>
            </w:r>
          </w:p>
        </w:tc>
        <w:tc>
          <w:tcPr>
            <w:tcW w:w="1320" w:type="dxa"/>
            <w:shd w:val="clear" w:color="auto" w:fill="FFF2CC"/>
            <w:noWrap/>
            <w:hideMark/>
          </w:tcPr>
          <w:p w14:paraId="4D31EFF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29.7</w:t>
            </w:r>
          </w:p>
        </w:tc>
        <w:tc>
          <w:tcPr>
            <w:tcW w:w="1320" w:type="dxa"/>
            <w:shd w:val="clear" w:color="auto" w:fill="FFF2CC"/>
            <w:noWrap/>
            <w:hideMark/>
          </w:tcPr>
          <w:p w14:paraId="0FCEE52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446</w:t>
            </w:r>
          </w:p>
        </w:tc>
        <w:tc>
          <w:tcPr>
            <w:tcW w:w="1420" w:type="dxa"/>
            <w:shd w:val="clear" w:color="auto" w:fill="FFF2CC"/>
            <w:noWrap/>
            <w:hideMark/>
          </w:tcPr>
          <w:p w14:paraId="0F3961D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30</w:t>
            </w:r>
          </w:p>
        </w:tc>
        <w:tc>
          <w:tcPr>
            <w:tcW w:w="1420" w:type="dxa"/>
            <w:shd w:val="clear" w:color="auto" w:fill="FFF2CC"/>
            <w:noWrap/>
            <w:hideMark/>
          </w:tcPr>
          <w:p w14:paraId="276AF45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584</w:t>
            </w:r>
          </w:p>
        </w:tc>
      </w:tr>
      <w:tr w:rsidR="00EC464A" w14:paraId="4740E638" w14:textId="77777777" w:rsidTr="00EC464A">
        <w:trPr>
          <w:trHeight w:val="300"/>
        </w:trPr>
        <w:tc>
          <w:tcPr>
            <w:tcW w:w="1480" w:type="dxa"/>
            <w:shd w:val="clear" w:color="auto" w:fill="FFF2CC"/>
            <w:noWrap/>
            <w:vAlign w:val="bottom"/>
            <w:hideMark/>
          </w:tcPr>
          <w:p w14:paraId="58621D12"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4702112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83</w:t>
            </w:r>
          </w:p>
        </w:tc>
        <w:tc>
          <w:tcPr>
            <w:tcW w:w="1320" w:type="dxa"/>
            <w:shd w:val="clear" w:color="auto" w:fill="FFF2CC"/>
            <w:noWrap/>
            <w:hideMark/>
          </w:tcPr>
          <w:p w14:paraId="355A032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53.1</w:t>
            </w:r>
          </w:p>
        </w:tc>
        <w:tc>
          <w:tcPr>
            <w:tcW w:w="1320" w:type="dxa"/>
            <w:shd w:val="clear" w:color="auto" w:fill="FFF2CC"/>
            <w:noWrap/>
            <w:hideMark/>
          </w:tcPr>
          <w:p w14:paraId="5937C92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67</w:t>
            </w:r>
          </w:p>
        </w:tc>
        <w:tc>
          <w:tcPr>
            <w:tcW w:w="1320" w:type="dxa"/>
            <w:shd w:val="clear" w:color="auto" w:fill="FFF2CC"/>
            <w:noWrap/>
            <w:hideMark/>
          </w:tcPr>
          <w:p w14:paraId="4C2CE32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328.9</w:t>
            </w:r>
          </w:p>
        </w:tc>
        <w:tc>
          <w:tcPr>
            <w:tcW w:w="1420" w:type="dxa"/>
            <w:shd w:val="clear" w:color="auto" w:fill="FFF2CC"/>
            <w:noWrap/>
            <w:hideMark/>
          </w:tcPr>
          <w:p w14:paraId="7112AD39"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59.7</w:t>
            </w:r>
          </w:p>
        </w:tc>
        <w:tc>
          <w:tcPr>
            <w:tcW w:w="1420" w:type="dxa"/>
            <w:shd w:val="clear" w:color="auto" w:fill="FFF2CC"/>
            <w:noWrap/>
            <w:hideMark/>
          </w:tcPr>
          <w:p w14:paraId="748C590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354.6</w:t>
            </w:r>
          </w:p>
        </w:tc>
      </w:tr>
      <w:tr w:rsidR="00EC464A" w14:paraId="275186EC" w14:textId="77777777" w:rsidTr="00EC464A">
        <w:trPr>
          <w:trHeight w:val="300"/>
        </w:trPr>
        <w:tc>
          <w:tcPr>
            <w:tcW w:w="1480" w:type="dxa"/>
            <w:shd w:val="clear" w:color="auto" w:fill="FFF2CC"/>
            <w:noWrap/>
            <w:vAlign w:val="bottom"/>
            <w:hideMark/>
          </w:tcPr>
          <w:p w14:paraId="1FCCC97D"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Femenino </w:t>
            </w:r>
          </w:p>
        </w:tc>
        <w:tc>
          <w:tcPr>
            <w:tcW w:w="1480" w:type="dxa"/>
            <w:shd w:val="clear" w:color="auto" w:fill="FFF2CC"/>
            <w:noWrap/>
            <w:hideMark/>
          </w:tcPr>
          <w:p w14:paraId="0E5A7D6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89</w:t>
            </w:r>
          </w:p>
        </w:tc>
        <w:tc>
          <w:tcPr>
            <w:tcW w:w="1320" w:type="dxa"/>
            <w:shd w:val="clear" w:color="auto" w:fill="FFF2CC"/>
            <w:noWrap/>
            <w:hideMark/>
          </w:tcPr>
          <w:p w14:paraId="4089ACB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22.6</w:t>
            </w:r>
          </w:p>
        </w:tc>
        <w:tc>
          <w:tcPr>
            <w:tcW w:w="1320" w:type="dxa"/>
            <w:shd w:val="clear" w:color="auto" w:fill="FFF2CC"/>
            <w:noWrap/>
            <w:hideMark/>
          </w:tcPr>
          <w:p w14:paraId="7CB3A93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10</w:t>
            </w:r>
          </w:p>
        </w:tc>
        <w:tc>
          <w:tcPr>
            <w:tcW w:w="1320" w:type="dxa"/>
            <w:shd w:val="clear" w:color="auto" w:fill="FFF2CC"/>
            <w:noWrap/>
            <w:hideMark/>
          </w:tcPr>
          <w:p w14:paraId="136FA0CA"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157</w:t>
            </w:r>
          </w:p>
        </w:tc>
        <w:tc>
          <w:tcPr>
            <w:tcW w:w="1420" w:type="dxa"/>
            <w:shd w:val="clear" w:color="auto" w:fill="FFF2CC"/>
            <w:noWrap/>
            <w:hideMark/>
          </w:tcPr>
          <w:p w14:paraId="3C7817F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3.9</w:t>
            </w:r>
          </w:p>
        </w:tc>
        <w:tc>
          <w:tcPr>
            <w:tcW w:w="1420" w:type="dxa"/>
            <w:shd w:val="clear" w:color="auto" w:fill="FFF2CC"/>
            <w:noWrap/>
            <w:hideMark/>
          </w:tcPr>
          <w:p w14:paraId="663C032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287</w:t>
            </w:r>
          </w:p>
        </w:tc>
      </w:tr>
      <w:tr w:rsidR="00EC464A" w14:paraId="221C67FB" w14:textId="77777777" w:rsidTr="00EC464A">
        <w:trPr>
          <w:trHeight w:val="300"/>
        </w:trPr>
        <w:tc>
          <w:tcPr>
            <w:tcW w:w="1480" w:type="dxa"/>
            <w:shd w:val="clear" w:color="auto" w:fill="FFF2CC"/>
            <w:noWrap/>
            <w:vAlign w:val="bottom"/>
            <w:hideMark/>
          </w:tcPr>
          <w:p w14:paraId="7DB1D576"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2A5705E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w:t>
            </w:r>
          </w:p>
        </w:tc>
        <w:tc>
          <w:tcPr>
            <w:tcW w:w="1320" w:type="dxa"/>
            <w:shd w:val="clear" w:color="auto" w:fill="FFF2CC"/>
            <w:noWrap/>
            <w:hideMark/>
          </w:tcPr>
          <w:p w14:paraId="678965D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41</w:t>
            </w:r>
          </w:p>
        </w:tc>
        <w:tc>
          <w:tcPr>
            <w:tcW w:w="1320" w:type="dxa"/>
            <w:shd w:val="clear" w:color="auto" w:fill="FFF2CC"/>
            <w:noWrap/>
            <w:hideMark/>
          </w:tcPr>
          <w:p w14:paraId="1D1613C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61</w:t>
            </w:r>
          </w:p>
        </w:tc>
        <w:tc>
          <w:tcPr>
            <w:tcW w:w="1320" w:type="dxa"/>
            <w:shd w:val="clear" w:color="auto" w:fill="FFF2CC"/>
            <w:noWrap/>
            <w:hideMark/>
          </w:tcPr>
          <w:p w14:paraId="73006A4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78</w:t>
            </w:r>
          </w:p>
        </w:tc>
        <w:tc>
          <w:tcPr>
            <w:tcW w:w="1420" w:type="dxa"/>
            <w:shd w:val="clear" w:color="auto" w:fill="FFF2CC"/>
            <w:noWrap/>
            <w:hideMark/>
          </w:tcPr>
          <w:p w14:paraId="71F9916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31</w:t>
            </w:r>
          </w:p>
        </w:tc>
        <w:tc>
          <w:tcPr>
            <w:tcW w:w="1420" w:type="dxa"/>
            <w:shd w:val="clear" w:color="auto" w:fill="FFF2CC"/>
            <w:noWrap/>
            <w:hideMark/>
          </w:tcPr>
          <w:p w14:paraId="0E4C59C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169</w:t>
            </w:r>
          </w:p>
        </w:tc>
      </w:tr>
      <w:tr w:rsidR="00EC464A" w14:paraId="5854600B" w14:textId="77777777" w:rsidTr="00EC464A">
        <w:trPr>
          <w:trHeight w:val="300"/>
        </w:trPr>
        <w:tc>
          <w:tcPr>
            <w:tcW w:w="1480" w:type="dxa"/>
            <w:shd w:val="clear" w:color="auto" w:fill="FFF2CC"/>
            <w:noWrap/>
            <w:vAlign w:val="bottom"/>
            <w:hideMark/>
          </w:tcPr>
          <w:p w14:paraId="36CDCF5E"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1099120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73</w:t>
            </w:r>
          </w:p>
        </w:tc>
        <w:tc>
          <w:tcPr>
            <w:tcW w:w="1320" w:type="dxa"/>
            <w:shd w:val="clear" w:color="auto" w:fill="FFF2CC"/>
            <w:noWrap/>
            <w:hideMark/>
          </w:tcPr>
          <w:p w14:paraId="5B5672C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35</w:t>
            </w:r>
          </w:p>
        </w:tc>
        <w:tc>
          <w:tcPr>
            <w:tcW w:w="1320" w:type="dxa"/>
            <w:shd w:val="clear" w:color="auto" w:fill="FFF2CC"/>
            <w:noWrap/>
            <w:hideMark/>
          </w:tcPr>
          <w:p w14:paraId="1E7F533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24</w:t>
            </w:r>
          </w:p>
        </w:tc>
        <w:tc>
          <w:tcPr>
            <w:tcW w:w="1320" w:type="dxa"/>
            <w:shd w:val="clear" w:color="auto" w:fill="FFF2CC"/>
            <w:noWrap/>
            <w:hideMark/>
          </w:tcPr>
          <w:p w14:paraId="15A8C4B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102</w:t>
            </w:r>
          </w:p>
        </w:tc>
        <w:tc>
          <w:tcPr>
            <w:tcW w:w="1420" w:type="dxa"/>
            <w:shd w:val="clear" w:color="auto" w:fill="FFF2CC"/>
            <w:noWrap/>
            <w:hideMark/>
          </w:tcPr>
          <w:p w14:paraId="068F88D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96</w:t>
            </w:r>
          </w:p>
        </w:tc>
        <w:tc>
          <w:tcPr>
            <w:tcW w:w="1420" w:type="dxa"/>
            <w:shd w:val="clear" w:color="auto" w:fill="FFF2CC"/>
            <w:noWrap/>
            <w:hideMark/>
          </w:tcPr>
          <w:p w14:paraId="4B82145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180</w:t>
            </w:r>
          </w:p>
        </w:tc>
      </w:tr>
      <w:tr w:rsidR="00EC464A" w14:paraId="3231BFA9" w14:textId="77777777" w:rsidTr="00EC464A">
        <w:trPr>
          <w:trHeight w:val="300"/>
        </w:trPr>
        <w:tc>
          <w:tcPr>
            <w:tcW w:w="1480" w:type="dxa"/>
            <w:shd w:val="clear" w:color="auto" w:fill="FFF2CC"/>
            <w:noWrap/>
            <w:vAlign w:val="bottom"/>
            <w:hideMark/>
          </w:tcPr>
          <w:p w14:paraId="37F5768A"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lastRenderedPageBreak/>
              <w:t>Femenino</w:t>
            </w:r>
          </w:p>
        </w:tc>
        <w:tc>
          <w:tcPr>
            <w:tcW w:w="1480" w:type="dxa"/>
            <w:shd w:val="clear" w:color="auto" w:fill="FFF2CC"/>
            <w:noWrap/>
            <w:hideMark/>
          </w:tcPr>
          <w:p w14:paraId="5ED15F3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63</w:t>
            </w:r>
          </w:p>
        </w:tc>
        <w:tc>
          <w:tcPr>
            <w:tcW w:w="1320" w:type="dxa"/>
            <w:shd w:val="clear" w:color="auto" w:fill="FFF2CC"/>
            <w:noWrap/>
            <w:hideMark/>
          </w:tcPr>
          <w:p w14:paraId="213F1EC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30.1</w:t>
            </w:r>
          </w:p>
        </w:tc>
        <w:tc>
          <w:tcPr>
            <w:tcW w:w="1320" w:type="dxa"/>
            <w:shd w:val="clear" w:color="auto" w:fill="FFF2CC"/>
            <w:noWrap/>
            <w:hideMark/>
          </w:tcPr>
          <w:p w14:paraId="0D8C383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40</w:t>
            </w:r>
          </w:p>
        </w:tc>
        <w:tc>
          <w:tcPr>
            <w:tcW w:w="1320" w:type="dxa"/>
            <w:shd w:val="clear" w:color="auto" w:fill="FFF2CC"/>
            <w:noWrap/>
            <w:hideMark/>
          </w:tcPr>
          <w:p w14:paraId="57558F3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215</w:t>
            </w:r>
          </w:p>
        </w:tc>
        <w:tc>
          <w:tcPr>
            <w:tcW w:w="1420" w:type="dxa"/>
            <w:shd w:val="clear" w:color="auto" w:fill="FFF2CC"/>
            <w:noWrap/>
            <w:hideMark/>
          </w:tcPr>
          <w:p w14:paraId="086406C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w:t>
            </w:r>
          </w:p>
        </w:tc>
        <w:tc>
          <w:tcPr>
            <w:tcW w:w="1420" w:type="dxa"/>
            <w:shd w:val="clear" w:color="auto" w:fill="FFF2CC"/>
            <w:noWrap/>
            <w:hideMark/>
          </w:tcPr>
          <w:p w14:paraId="0064B2F3"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400</w:t>
            </w:r>
          </w:p>
        </w:tc>
      </w:tr>
      <w:tr w:rsidR="00EC464A" w14:paraId="0613CE9F" w14:textId="77777777" w:rsidTr="00EC464A">
        <w:trPr>
          <w:trHeight w:val="300"/>
        </w:trPr>
        <w:tc>
          <w:tcPr>
            <w:tcW w:w="1480" w:type="dxa"/>
            <w:shd w:val="clear" w:color="auto" w:fill="FFF2CC"/>
            <w:noWrap/>
            <w:vAlign w:val="bottom"/>
            <w:hideMark/>
          </w:tcPr>
          <w:p w14:paraId="399296C1"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47AE429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14</w:t>
            </w:r>
          </w:p>
        </w:tc>
        <w:tc>
          <w:tcPr>
            <w:tcW w:w="1320" w:type="dxa"/>
            <w:shd w:val="clear" w:color="auto" w:fill="FFF2CC"/>
            <w:noWrap/>
            <w:hideMark/>
          </w:tcPr>
          <w:p w14:paraId="033DFBA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33.3</w:t>
            </w:r>
          </w:p>
        </w:tc>
        <w:tc>
          <w:tcPr>
            <w:tcW w:w="1320" w:type="dxa"/>
            <w:shd w:val="clear" w:color="auto" w:fill="FFF2CC"/>
            <w:noWrap/>
            <w:hideMark/>
          </w:tcPr>
          <w:p w14:paraId="7BEB996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18.4</w:t>
            </w:r>
          </w:p>
        </w:tc>
        <w:tc>
          <w:tcPr>
            <w:tcW w:w="1320" w:type="dxa"/>
            <w:shd w:val="clear" w:color="auto" w:fill="FFF2CC"/>
            <w:noWrap/>
            <w:hideMark/>
          </w:tcPr>
          <w:p w14:paraId="18698BB9"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231</w:t>
            </w:r>
          </w:p>
        </w:tc>
        <w:tc>
          <w:tcPr>
            <w:tcW w:w="1420" w:type="dxa"/>
            <w:shd w:val="clear" w:color="auto" w:fill="FFF2CC"/>
            <w:noWrap/>
            <w:hideMark/>
          </w:tcPr>
          <w:p w14:paraId="2421E75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10</w:t>
            </w:r>
          </w:p>
        </w:tc>
        <w:tc>
          <w:tcPr>
            <w:tcW w:w="1420" w:type="dxa"/>
            <w:shd w:val="clear" w:color="auto" w:fill="FFF2CC"/>
            <w:noWrap/>
            <w:hideMark/>
          </w:tcPr>
          <w:p w14:paraId="43B4B1B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324</w:t>
            </w:r>
          </w:p>
        </w:tc>
      </w:tr>
      <w:tr w:rsidR="00EC464A" w14:paraId="0BD63877" w14:textId="77777777" w:rsidTr="00EC464A">
        <w:trPr>
          <w:trHeight w:val="300"/>
        </w:trPr>
        <w:tc>
          <w:tcPr>
            <w:tcW w:w="1480" w:type="dxa"/>
            <w:shd w:val="clear" w:color="auto" w:fill="FFF2CC"/>
            <w:noWrap/>
            <w:vAlign w:val="bottom"/>
            <w:hideMark/>
          </w:tcPr>
          <w:p w14:paraId="40EA6242"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7AC8562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63</w:t>
            </w:r>
          </w:p>
        </w:tc>
        <w:tc>
          <w:tcPr>
            <w:tcW w:w="1320" w:type="dxa"/>
            <w:shd w:val="clear" w:color="auto" w:fill="FFF2CC"/>
            <w:noWrap/>
            <w:hideMark/>
          </w:tcPr>
          <w:p w14:paraId="729E817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21.9</w:t>
            </w:r>
          </w:p>
        </w:tc>
        <w:tc>
          <w:tcPr>
            <w:tcW w:w="1320" w:type="dxa"/>
            <w:shd w:val="clear" w:color="auto" w:fill="FFF2CC"/>
            <w:noWrap/>
            <w:hideMark/>
          </w:tcPr>
          <w:p w14:paraId="45D8B36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24.5</w:t>
            </w:r>
          </w:p>
        </w:tc>
        <w:tc>
          <w:tcPr>
            <w:tcW w:w="1320" w:type="dxa"/>
            <w:shd w:val="clear" w:color="auto" w:fill="FFF2CC"/>
            <w:noWrap/>
            <w:hideMark/>
          </w:tcPr>
          <w:p w14:paraId="2566564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146</w:t>
            </w:r>
          </w:p>
        </w:tc>
        <w:tc>
          <w:tcPr>
            <w:tcW w:w="1420" w:type="dxa"/>
            <w:shd w:val="clear" w:color="auto" w:fill="FFF2CC"/>
            <w:noWrap/>
            <w:hideMark/>
          </w:tcPr>
          <w:p w14:paraId="6209751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43</w:t>
            </w:r>
          </w:p>
        </w:tc>
        <w:tc>
          <w:tcPr>
            <w:tcW w:w="1420" w:type="dxa"/>
            <w:shd w:val="clear" w:color="auto" w:fill="FFF2CC"/>
            <w:noWrap/>
            <w:hideMark/>
          </w:tcPr>
          <w:p w14:paraId="1FDD677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384</w:t>
            </w:r>
          </w:p>
        </w:tc>
      </w:tr>
      <w:tr w:rsidR="00EC464A" w14:paraId="0FF0887C" w14:textId="77777777" w:rsidTr="00EC464A">
        <w:trPr>
          <w:trHeight w:val="300"/>
        </w:trPr>
        <w:tc>
          <w:tcPr>
            <w:tcW w:w="1480" w:type="dxa"/>
            <w:shd w:val="clear" w:color="auto" w:fill="FFF2CC"/>
            <w:noWrap/>
            <w:vAlign w:val="bottom"/>
            <w:hideMark/>
          </w:tcPr>
          <w:p w14:paraId="3440DB9D"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3735DA3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47</w:t>
            </w:r>
          </w:p>
        </w:tc>
        <w:tc>
          <w:tcPr>
            <w:tcW w:w="1320" w:type="dxa"/>
            <w:shd w:val="clear" w:color="auto" w:fill="FFF2CC"/>
            <w:noWrap/>
            <w:hideMark/>
          </w:tcPr>
          <w:p w14:paraId="28017B6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38.1</w:t>
            </w:r>
          </w:p>
        </w:tc>
        <w:tc>
          <w:tcPr>
            <w:tcW w:w="1320" w:type="dxa"/>
            <w:shd w:val="clear" w:color="auto" w:fill="FFF2CC"/>
            <w:noWrap/>
            <w:hideMark/>
          </w:tcPr>
          <w:p w14:paraId="5BE8B95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42.2</w:t>
            </w:r>
          </w:p>
        </w:tc>
        <w:tc>
          <w:tcPr>
            <w:tcW w:w="1320" w:type="dxa"/>
            <w:shd w:val="clear" w:color="auto" w:fill="FFF2CC"/>
            <w:noWrap/>
            <w:hideMark/>
          </w:tcPr>
          <w:p w14:paraId="0A1B606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192</w:t>
            </w:r>
          </w:p>
        </w:tc>
        <w:tc>
          <w:tcPr>
            <w:tcW w:w="1420" w:type="dxa"/>
            <w:shd w:val="clear" w:color="auto" w:fill="FFF2CC"/>
            <w:noWrap/>
            <w:hideMark/>
          </w:tcPr>
          <w:p w14:paraId="574D22E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35</w:t>
            </w:r>
          </w:p>
        </w:tc>
        <w:tc>
          <w:tcPr>
            <w:tcW w:w="1420" w:type="dxa"/>
            <w:shd w:val="clear" w:color="auto" w:fill="FFF2CC"/>
            <w:noWrap/>
            <w:hideMark/>
          </w:tcPr>
          <w:p w14:paraId="4541FF6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474</w:t>
            </w:r>
          </w:p>
        </w:tc>
      </w:tr>
      <w:tr w:rsidR="00EC464A" w14:paraId="728B6EC4" w14:textId="77777777" w:rsidTr="00EC464A">
        <w:trPr>
          <w:trHeight w:val="300"/>
        </w:trPr>
        <w:tc>
          <w:tcPr>
            <w:tcW w:w="1480" w:type="dxa"/>
            <w:shd w:val="clear" w:color="auto" w:fill="FFF2CC"/>
            <w:noWrap/>
            <w:vAlign w:val="bottom"/>
            <w:hideMark/>
          </w:tcPr>
          <w:p w14:paraId="19B0C402"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2D5C34B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54</w:t>
            </w:r>
          </w:p>
        </w:tc>
        <w:tc>
          <w:tcPr>
            <w:tcW w:w="1320" w:type="dxa"/>
            <w:shd w:val="clear" w:color="auto" w:fill="FFF2CC"/>
            <w:noWrap/>
            <w:hideMark/>
          </w:tcPr>
          <w:p w14:paraId="455F9FA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57.8</w:t>
            </w:r>
          </w:p>
        </w:tc>
        <w:tc>
          <w:tcPr>
            <w:tcW w:w="1320" w:type="dxa"/>
            <w:shd w:val="clear" w:color="auto" w:fill="FFF2CC"/>
            <w:noWrap/>
            <w:hideMark/>
          </w:tcPr>
          <w:p w14:paraId="007CD2F1"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39.5</w:t>
            </w:r>
          </w:p>
        </w:tc>
        <w:tc>
          <w:tcPr>
            <w:tcW w:w="1320" w:type="dxa"/>
            <w:shd w:val="clear" w:color="auto" w:fill="FFF2CC"/>
            <w:noWrap/>
            <w:hideMark/>
          </w:tcPr>
          <w:p w14:paraId="4FB51209"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301</w:t>
            </w:r>
          </w:p>
        </w:tc>
        <w:tc>
          <w:tcPr>
            <w:tcW w:w="1420" w:type="dxa"/>
            <w:shd w:val="clear" w:color="auto" w:fill="FFF2CC"/>
            <w:noWrap/>
            <w:hideMark/>
          </w:tcPr>
          <w:p w14:paraId="7081BCBC"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110</w:t>
            </w:r>
          </w:p>
        </w:tc>
        <w:tc>
          <w:tcPr>
            <w:tcW w:w="1420" w:type="dxa"/>
            <w:shd w:val="clear" w:color="auto" w:fill="FFF2CC"/>
            <w:noWrap/>
            <w:hideMark/>
          </w:tcPr>
          <w:p w14:paraId="3C3258F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616</w:t>
            </w:r>
          </w:p>
        </w:tc>
      </w:tr>
      <w:tr w:rsidR="00EC464A" w14:paraId="463B32EF" w14:textId="77777777" w:rsidTr="00EC464A">
        <w:trPr>
          <w:trHeight w:val="300"/>
        </w:trPr>
        <w:tc>
          <w:tcPr>
            <w:tcW w:w="1480" w:type="dxa"/>
            <w:shd w:val="clear" w:color="auto" w:fill="FFF2CC"/>
            <w:noWrap/>
            <w:vAlign w:val="bottom"/>
            <w:hideMark/>
          </w:tcPr>
          <w:p w14:paraId="6A25452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32DA84A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75</w:t>
            </w:r>
          </w:p>
        </w:tc>
        <w:tc>
          <w:tcPr>
            <w:tcW w:w="1320" w:type="dxa"/>
            <w:shd w:val="clear" w:color="auto" w:fill="FFF2CC"/>
            <w:noWrap/>
            <w:hideMark/>
          </w:tcPr>
          <w:p w14:paraId="0420610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29.4</w:t>
            </w:r>
          </w:p>
        </w:tc>
        <w:tc>
          <w:tcPr>
            <w:tcW w:w="1320" w:type="dxa"/>
            <w:shd w:val="clear" w:color="auto" w:fill="FFF2CC"/>
            <w:noWrap/>
            <w:hideMark/>
          </w:tcPr>
          <w:p w14:paraId="6935FE6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30.1</w:t>
            </w:r>
          </w:p>
        </w:tc>
        <w:tc>
          <w:tcPr>
            <w:tcW w:w="1320" w:type="dxa"/>
            <w:shd w:val="clear" w:color="auto" w:fill="FFF2CC"/>
            <w:noWrap/>
            <w:hideMark/>
          </w:tcPr>
          <w:p w14:paraId="576DF1F0"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197</w:t>
            </w:r>
          </w:p>
        </w:tc>
        <w:tc>
          <w:tcPr>
            <w:tcW w:w="1420" w:type="dxa"/>
            <w:shd w:val="clear" w:color="auto" w:fill="FFF2CC"/>
            <w:noWrap/>
            <w:hideMark/>
          </w:tcPr>
          <w:p w14:paraId="2FE75E5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w:t>
            </w:r>
          </w:p>
        </w:tc>
        <w:tc>
          <w:tcPr>
            <w:tcW w:w="1420" w:type="dxa"/>
            <w:shd w:val="clear" w:color="auto" w:fill="FFF2CC"/>
            <w:noWrap/>
            <w:hideMark/>
          </w:tcPr>
          <w:p w14:paraId="5A1A83B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342</w:t>
            </w:r>
          </w:p>
        </w:tc>
      </w:tr>
      <w:tr w:rsidR="00EC464A" w14:paraId="160B34F0" w14:textId="77777777" w:rsidTr="00EC464A">
        <w:trPr>
          <w:trHeight w:val="300"/>
        </w:trPr>
        <w:tc>
          <w:tcPr>
            <w:tcW w:w="1480" w:type="dxa"/>
            <w:shd w:val="clear" w:color="auto" w:fill="FFF2CC"/>
            <w:noWrap/>
            <w:vAlign w:val="bottom"/>
            <w:hideMark/>
          </w:tcPr>
          <w:p w14:paraId="681DCA8C"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59F040E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70</w:t>
            </w:r>
          </w:p>
        </w:tc>
        <w:tc>
          <w:tcPr>
            <w:tcW w:w="1320" w:type="dxa"/>
            <w:shd w:val="clear" w:color="auto" w:fill="FFF2CC"/>
            <w:noWrap/>
            <w:hideMark/>
          </w:tcPr>
          <w:p w14:paraId="70F6311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27.9</w:t>
            </w:r>
          </w:p>
        </w:tc>
        <w:tc>
          <w:tcPr>
            <w:tcW w:w="1320" w:type="dxa"/>
            <w:shd w:val="clear" w:color="auto" w:fill="FFF2CC"/>
            <w:noWrap/>
            <w:hideMark/>
          </w:tcPr>
          <w:p w14:paraId="2FC6E78C"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20.9</w:t>
            </w:r>
          </w:p>
        </w:tc>
        <w:tc>
          <w:tcPr>
            <w:tcW w:w="1320" w:type="dxa"/>
            <w:shd w:val="clear" w:color="auto" w:fill="FFF2CC"/>
            <w:noWrap/>
            <w:hideMark/>
          </w:tcPr>
          <w:p w14:paraId="7CADC0BE"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266</w:t>
            </w:r>
          </w:p>
        </w:tc>
        <w:tc>
          <w:tcPr>
            <w:tcW w:w="1420" w:type="dxa"/>
            <w:shd w:val="clear" w:color="auto" w:fill="FFF2CC"/>
            <w:noWrap/>
            <w:hideMark/>
          </w:tcPr>
          <w:p w14:paraId="30C845E4"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19</w:t>
            </w:r>
          </w:p>
        </w:tc>
        <w:tc>
          <w:tcPr>
            <w:tcW w:w="1420" w:type="dxa"/>
            <w:shd w:val="clear" w:color="auto" w:fill="FFF2CC"/>
            <w:noWrap/>
            <w:hideMark/>
          </w:tcPr>
          <w:p w14:paraId="0E2E01E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440</w:t>
            </w:r>
          </w:p>
        </w:tc>
      </w:tr>
      <w:tr w:rsidR="00EC464A" w14:paraId="45033412" w14:textId="77777777" w:rsidTr="00EC464A">
        <w:trPr>
          <w:trHeight w:val="300"/>
        </w:trPr>
        <w:tc>
          <w:tcPr>
            <w:tcW w:w="1480" w:type="dxa"/>
            <w:shd w:val="clear" w:color="auto" w:fill="FFF2CC"/>
            <w:noWrap/>
            <w:vAlign w:val="bottom"/>
            <w:hideMark/>
          </w:tcPr>
          <w:p w14:paraId="46FA9C00"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173F8A6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82</w:t>
            </w:r>
          </w:p>
        </w:tc>
        <w:tc>
          <w:tcPr>
            <w:tcW w:w="1320" w:type="dxa"/>
            <w:shd w:val="clear" w:color="auto" w:fill="FFF2CC"/>
            <w:noWrap/>
            <w:hideMark/>
          </w:tcPr>
          <w:p w14:paraId="7BADB2E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w:t>
            </w:r>
          </w:p>
        </w:tc>
        <w:tc>
          <w:tcPr>
            <w:tcW w:w="1320" w:type="dxa"/>
            <w:shd w:val="clear" w:color="auto" w:fill="FFF2CC"/>
            <w:noWrap/>
            <w:hideMark/>
          </w:tcPr>
          <w:p w14:paraId="51B4990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14</w:t>
            </w:r>
          </w:p>
        </w:tc>
        <w:tc>
          <w:tcPr>
            <w:tcW w:w="1320" w:type="dxa"/>
            <w:shd w:val="clear" w:color="auto" w:fill="FFF2CC"/>
            <w:noWrap/>
            <w:hideMark/>
          </w:tcPr>
          <w:p w14:paraId="185EED5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250</w:t>
            </w:r>
          </w:p>
        </w:tc>
        <w:tc>
          <w:tcPr>
            <w:tcW w:w="1420" w:type="dxa"/>
            <w:shd w:val="clear" w:color="auto" w:fill="FFF2CC"/>
            <w:noWrap/>
            <w:hideMark/>
          </w:tcPr>
          <w:p w14:paraId="0CC3257B"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14</w:t>
            </w:r>
          </w:p>
        </w:tc>
        <w:tc>
          <w:tcPr>
            <w:tcW w:w="1420" w:type="dxa"/>
            <w:shd w:val="clear" w:color="auto" w:fill="FFF2CC"/>
            <w:noWrap/>
            <w:hideMark/>
          </w:tcPr>
          <w:p w14:paraId="3581861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384</w:t>
            </w:r>
          </w:p>
        </w:tc>
      </w:tr>
      <w:tr w:rsidR="00EC464A" w14:paraId="30E18CFA" w14:textId="77777777" w:rsidTr="00EC464A">
        <w:trPr>
          <w:trHeight w:val="300"/>
        </w:trPr>
        <w:tc>
          <w:tcPr>
            <w:tcW w:w="1480" w:type="dxa"/>
            <w:shd w:val="clear" w:color="auto" w:fill="FFF2CC"/>
            <w:noWrap/>
            <w:vAlign w:val="bottom"/>
            <w:hideMark/>
          </w:tcPr>
          <w:p w14:paraId="26F16417"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1599A01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61</w:t>
            </w:r>
          </w:p>
        </w:tc>
        <w:tc>
          <w:tcPr>
            <w:tcW w:w="1320" w:type="dxa"/>
            <w:shd w:val="clear" w:color="auto" w:fill="FFF2CC"/>
            <w:noWrap/>
            <w:hideMark/>
          </w:tcPr>
          <w:p w14:paraId="41A08FF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85.9</w:t>
            </w:r>
          </w:p>
        </w:tc>
        <w:tc>
          <w:tcPr>
            <w:tcW w:w="1320" w:type="dxa"/>
            <w:shd w:val="clear" w:color="auto" w:fill="FFF2CC"/>
            <w:noWrap/>
            <w:hideMark/>
          </w:tcPr>
          <w:p w14:paraId="47BFD43E"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90.7</w:t>
            </w:r>
          </w:p>
        </w:tc>
        <w:tc>
          <w:tcPr>
            <w:tcW w:w="1320" w:type="dxa"/>
            <w:shd w:val="clear" w:color="auto" w:fill="FFF2CC"/>
            <w:noWrap/>
            <w:hideMark/>
          </w:tcPr>
          <w:p w14:paraId="253E1C60"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429</w:t>
            </w:r>
          </w:p>
        </w:tc>
        <w:tc>
          <w:tcPr>
            <w:tcW w:w="1420" w:type="dxa"/>
            <w:shd w:val="clear" w:color="auto" w:fill="FFF2CC"/>
            <w:noWrap/>
            <w:hideMark/>
          </w:tcPr>
          <w:p w14:paraId="5AD35E2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129</w:t>
            </w:r>
          </w:p>
        </w:tc>
        <w:tc>
          <w:tcPr>
            <w:tcW w:w="1420" w:type="dxa"/>
            <w:shd w:val="clear" w:color="auto" w:fill="FFF2CC"/>
            <w:noWrap/>
            <w:hideMark/>
          </w:tcPr>
          <w:p w14:paraId="79CFB86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650</w:t>
            </w:r>
          </w:p>
        </w:tc>
      </w:tr>
      <w:tr w:rsidR="00EC464A" w14:paraId="301EED08" w14:textId="77777777" w:rsidTr="00EC464A">
        <w:trPr>
          <w:trHeight w:val="300"/>
        </w:trPr>
        <w:tc>
          <w:tcPr>
            <w:tcW w:w="1480" w:type="dxa"/>
            <w:shd w:val="clear" w:color="auto" w:fill="FFF2CC"/>
            <w:noWrap/>
            <w:vAlign w:val="bottom"/>
            <w:hideMark/>
          </w:tcPr>
          <w:p w14:paraId="57EA129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49D7CE1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70</w:t>
            </w:r>
          </w:p>
        </w:tc>
        <w:tc>
          <w:tcPr>
            <w:tcW w:w="1320" w:type="dxa"/>
            <w:shd w:val="clear" w:color="auto" w:fill="FFF2CC"/>
            <w:noWrap/>
            <w:hideMark/>
          </w:tcPr>
          <w:p w14:paraId="7709709D"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36.1</w:t>
            </w:r>
          </w:p>
        </w:tc>
        <w:tc>
          <w:tcPr>
            <w:tcW w:w="1320" w:type="dxa"/>
            <w:shd w:val="clear" w:color="auto" w:fill="FFF2CC"/>
            <w:noWrap/>
            <w:hideMark/>
          </w:tcPr>
          <w:p w14:paraId="40321C5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31</w:t>
            </w:r>
          </w:p>
        </w:tc>
        <w:tc>
          <w:tcPr>
            <w:tcW w:w="1320" w:type="dxa"/>
            <w:shd w:val="clear" w:color="auto" w:fill="FFF2CC"/>
            <w:noWrap/>
            <w:hideMark/>
          </w:tcPr>
          <w:p w14:paraId="5D75FF42"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190</w:t>
            </w:r>
          </w:p>
        </w:tc>
        <w:tc>
          <w:tcPr>
            <w:tcW w:w="1420" w:type="dxa"/>
            <w:shd w:val="clear" w:color="auto" w:fill="FFF2CC"/>
            <w:noWrap/>
            <w:hideMark/>
          </w:tcPr>
          <w:p w14:paraId="12CE760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23</w:t>
            </w:r>
          </w:p>
        </w:tc>
        <w:tc>
          <w:tcPr>
            <w:tcW w:w="1420" w:type="dxa"/>
            <w:shd w:val="clear" w:color="auto" w:fill="FFF2CC"/>
            <w:noWrap/>
            <w:hideMark/>
          </w:tcPr>
          <w:p w14:paraId="15927F0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241</w:t>
            </w:r>
          </w:p>
        </w:tc>
      </w:tr>
      <w:tr w:rsidR="00EC464A" w14:paraId="38AE7F8A" w14:textId="77777777" w:rsidTr="00EC464A">
        <w:trPr>
          <w:trHeight w:val="300"/>
        </w:trPr>
        <w:tc>
          <w:tcPr>
            <w:tcW w:w="1480" w:type="dxa"/>
            <w:shd w:val="clear" w:color="auto" w:fill="FFF2CC"/>
            <w:noWrap/>
            <w:vAlign w:val="bottom"/>
            <w:hideMark/>
          </w:tcPr>
          <w:p w14:paraId="2D781111"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723385C0"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74</w:t>
            </w:r>
          </w:p>
        </w:tc>
        <w:tc>
          <w:tcPr>
            <w:tcW w:w="1320" w:type="dxa"/>
            <w:shd w:val="clear" w:color="auto" w:fill="FFF2CC"/>
            <w:noWrap/>
            <w:hideMark/>
          </w:tcPr>
          <w:p w14:paraId="3D9F090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65</w:t>
            </w:r>
          </w:p>
        </w:tc>
        <w:tc>
          <w:tcPr>
            <w:tcW w:w="1320" w:type="dxa"/>
            <w:shd w:val="clear" w:color="auto" w:fill="FFF2CC"/>
            <w:noWrap/>
            <w:hideMark/>
          </w:tcPr>
          <w:p w14:paraId="1929B87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49</w:t>
            </w:r>
          </w:p>
        </w:tc>
        <w:tc>
          <w:tcPr>
            <w:tcW w:w="1320" w:type="dxa"/>
            <w:shd w:val="clear" w:color="auto" w:fill="FFF2CC"/>
            <w:noWrap/>
            <w:hideMark/>
          </w:tcPr>
          <w:p w14:paraId="7095A6A8"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364</w:t>
            </w:r>
          </w:p>
        </w:tc>
        <w:tc>
          <w:tcPr>
            <w:tcW w:w="1420" w:type="dxa"/>
            <w:shd w:val="clear" w:color="auto" w:fill="FFF2CC"/>
            <w:noWrap/>
            <w:hideMark/>
          </w:tcPr>
          <w:p w14:paraId="3827728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56</w:t>
            </w:r>
          </w:p>
        </w:tc>
        <w:tc>
          <w:tcPr>
            <w:tcW w:w="1420" w:type="dxa"/>
            <w:shd w:val="clear" w:color="auto" w:fill="FFF2CC"/>
            <w:noWrap/>
            <w:hideMark/>
          </w:tcPr>
          <w:p w14:paraId="5C620D8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669</w:t>
            </w:r>
          </w:p>
        </w:tc>
      </w:tr>
      <w:tr w:rsidR="00EC464A" w14:paraId="438A709C" w14:textId="77777777" w:rsidTr="00EC464A">
        <w:trPr>
          <w:trHeight w:val="300"/>
        </w:trPr>
        <w:tc>
          <w:tcPr>
            <w:tcW w:w="1480" w:type="dxa"/>
            <w:shd w:val="clear" w:color="auto" w:fill="FFF2CC"/>
            <w:noWrap/>
            <w:vAlign w:val="bottom"/>
            <w:hideMark/>
          </w:tcPr>
          <w:p w14:paraId="195F9625"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030FC81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62</w:t>
            </w:r>
          </w:p>
        </w:tc>
        <w:tc>
          <w:tcPr>
            <w:tcW w:w="1320" w:type="dxa"/>
            <w:shd w:val="clear" w:color="auto" w:fill="FFF2CC"/>
            <w:noWrap/>
            <w:hideMark/>
          </w:tcPr>
          <w:p w14:paraId="0F7BA1C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63.1</w:t>
            </w:r>
          </w:p>
        </w:tc>
        <w:tc>
          <w:tcPr>
            <w:tcW w:w="1320" w:type="dxa"/>
            <w:shd w:val="clear" w:color="auto" w:fill="FFF2CC"/>
            <w:noWrap/>
            <w:hideMark/>
          </w:tcPr>
          <w:p w14:paraId="14FA021A"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77</w:t>
            </w:r>
          </w:p>
        </w:tc>
        <w:tc>
          <w:tcPr>
            <w:tcW w:w="1320" w:type="dxa"/>
            <w:shd w:val="clear" w:color="auto" w:fill="FFF2CC"/>
            <w:noWrap/>
            <w:hideMark/>
          </w:tcPr>
          <w:p w14:paraId="562F496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111</w:t>
            </w:r>
          </w:p>
        </w:tc>
        <w:tc>
          <w:tcPr>
            <w:tcW w:w="1420" w:type="dxa"/>
            <w:shd w:val="clear" w:color="auto" w:fill="FFF2CC"/>
            <w:noWrap/>
            <w:hideMark/>
          </w:tcPr>
          <w:p w14:paraId="6F1FE9D4"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51</w:t>
            </w:r>
          </w:p>
        </w:tc>
        <w:tc>
          <w:tcPr>
            <w:tcW w:w="1420" w:type="dxa"/>
            <w:shd w:val="clear" w:color="auto" w:fill="FFF2CC"/>
            <w:noWrap/>
            <w:hideMark/>
          </w:tcPr>
          <w:p w14:paraId="365A5C0F"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331</w:t>
            </w:r>
          </w:p>
        </w:tc>
      </w:tr>
      <w:tr w:rsidR="00EC464A" w14:paraId="513427A2" w14:textId="77777777" w:rsidTr="00EC464A">
        <w:trPr>
          <w:trHeight w:val="300"/>
        </w:trPr>
        <w:tc>
          <w:tcPr>
            <w:tcW w:w="1480" w:type="dxa"/>
            <w:shd w:val="clear" w:color="auto" w:fill="FFF2CC"/>
            <w:noWrap/>
            <w:vAlign w:val="bottom"/>
            <w:hideMark/>
          </w:tcPr>
          <w:p w14:paraId="310EDD40"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224AAC28"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87</w:t>
            </w:r>
          </w:p>
        </w:tc>
        <w:tc>
          <w:tcPr>
            <w:tcW w:w="1320" w:type="dxa"/>
            <w:shd w:val="clear" w:color="auto" w:fill="FFF2CC"/>
            <w:noWrap/>
            <w:hideMark/>
          </w:tcPr>
          <w:p w14:paraId="25BB2E15"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36.1</w:t>
            </w:r>
          </w:p>
        </w:tc>
        <w:tc>
          <w:tcPr>
            <w:tcW w:w="1320" w:type="dxa"/>
            <w:shd w:val="clear" w:color="auto" w:fill="FFF2CC"/>
            <w:noWrap/>
            <w:hideMark/>
          </w:tcPr>
          <w:p w14:paraId="18E3B446"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42</w:t>
            </w:r>
          </w:p>
        </w:tc>
        <w:tc>
          <w:tcPr>
            <w:tcW w:w="1320" w:type="dxa"/>
            <w:shd w:val="clear" w:color="auto" w:fill="FFF2CC"/>
            <w:noWrap/>
            <w:hideMark/>
          </w:tcPr>
          <w:p w14:paraId="72879055"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158</w:t>
            </w:r>
          </w:p>
        </w:tc>
        <w:tc>
          <w:tcPr>
            <w:tcW w:w="1420" w:type="dxa"/>
            <w:shd w:val="clear" w:color="auto" w:fill="FFF2CC"/>
            <w:noWrap/>
            <w:hideMark/>
          </w:tcPr>
          <w:p w14:paraId="55B901D7"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34</w:t>
            </w:r>
          </w:p>
        </w:tc>
        <w:tc>
          <w:tcPr>
            <w:tcW w:w="1420" w:type="dxa"/>
            <w:shd w:val="clear" w:color="auto" w:fill="FFF2CC"/>
            <w:noWrap/>
            <w:hideMark/>
          </w:tcPr>
          <w:p w14:paraId="358883C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177</w:t>
            </w:r>
          </w:p>
        </w:tc>
      </w:tr>
      <w:tr w:rsidR="00EC464A" w14:paraId="20323D02" w14:textId="77777777" w:rsidTr="00EC464A">
        <w:trPr>
          <w:trHeight w:val="300"/>
        </w:trPr>
        <w:tc>
          <w:tcPr>
            <w:tcW w:w="1480" w:type="dxa"/>
            <w:shd w:val="clear" w:color="auto" w:fill="FFF2CC"/>
            <w:noWrap/>
            <w:vAlign w:val="bottom"/>
            <w:hideMark/>
          </w:tcPr>
          <w:p w14:paraId="58E1507C"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Femenino</w:t>
            </w:r>
          </w:p>
        </w:tc>
        <w:tc>
          <w:tcPr>
            <w:tcW w:w="1480" w:type="dxa"/>
            <w:shd w:val="clear" w:color="auto" w:fill="FFF2CC"/>
            <w:noWrap/>
            <w:hideMark/>
          </w:tcPr>
          <w:p w14:paraId="56D98EB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74</w:t>
            </w:r>
          </w:p>
        </w:tc>
        <w:tc>
          <w:tcPr>
            <w:tcW w:w="1320" w:type="dxa"/>
            <w:shd w:val="clear" w:color="auto" w:fill="FFF2CC"/>
            <w:noWrap/>
            <w:hideMark/>
          </w:tcPr>
          <w:p w14:paraId="734420D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22</w:t>
            </w:r>
          </w:p>
        </w:tc>
        <w:tc>
          <w:tcPr>
            <w:tcW w:w="1320" w:type="dxa"/>
            <w:shd w:val="clear" w:color="auto" w:fill="FFF2CC"/>
            <w:noWrap/>
            <w:hideMark/>
          </w:tcPr>
          <w:p w14:paraId="17AD0B09"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15</w:t>
            </w:r>
          </w:p>
        </w:tc>
        <w:tc>
          <w:tcPr>
            <w:tcW w:w="1320" w:type="dxa"/>
            <w:shd w:val="clear" w:color="auto" w:fill="FFF2CC"/>
            <w:noWrap/>
            <w:hideMark/>
          </w:tcPr>
          <w:p w14:paraId="648D28D1"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213</w:t>
            </w:r>
          </w:p>
        </w:tc>
        <w:tc>
          <w:tcPr>
            <w:tcW w:w="1420" w:type="dxa"/>
            <w:shd w:val="clear" w:color="auto" w:fill="FFF2CC"/>
            <w:noWrap/>
            <w:hideMark/>
          </w:tcPr>
          <w:p w14:paraId="1663BDE2"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29</w:t>
            </w:r>
          </w:p>
        </w:tc>
        <w:tc>
          <w:tcPr>
            <w:tcW w:w="1420" w:type="dxa"/>
            <w:shd w:val="clear" w:color="auto" w:fill="FFF2CC"/>
            <w:noWrap/>
            <w:hideMark/>
          </w:tcPr>
          <w:p w14:paraId="0B78466B"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387</w:t>
            </w:r>
          </w:p>
        </w:tc>
      </w:tr>
      <w:tr w:rsidR="00EC464A" w14:paraId="339F020F" w14:textId="77777777" w:rsidTr="00EC464A">
        <w:trPr>
          <w:trHeight w:val="300"/>
        </w:trPr>
        <w:tc>
          <w:tcPr>
            <w:tcW w:w="1480" w:type="dxa"/>
            <w:shd w:val="clear" w:color="auto" w:fill="FFF2CC"/>
            <w:noWrap/>
            <w:vAlign w:val="bottom"/>
            <w:hideMark/>
          </w:tcPr>
          <w:p w14:paraId="425B29CD"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Masculino</w:t>
            </w:r>
          </w:p>
        </w:tc>
        <w:tc>
          <w:tcPr>
            <w:tcW w:w="1480" w:type="dxa"/>
            <w:shd w:val="clear" w:color="auto" w:fill="FFF2CC"/>
            <w:noWrap/>
            <w:hideMark/>
          </w:tcPr>
          <w:p w14:paraId="3E5F8087"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79</w:t>
            </w:r>
          </w:p>
        </w:tc>
        <w:tc>
          <w:tcPr>
            <w:tcW w:w="1320" w:type="dxa"/>
            <w:shd w:val="clear" w:color="auto" w:fill="FFF2CC"/>
            <w:noWrap/>
            <w:hideMark/>
          </w:tcPr>
          <w:p w14:paraId="70D299D3"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35</w:t>
            </w:r>
          </w:p>
        </w:tc>
        <w:tc>
          <w:tcPr>
            <w:tcW w:w="1320" w:type="dxa"/>
            <w:shd w:val="clear" w:color="auto" w:fill="FFF2CC"/>
            <w:noWrap/>
            <w:hideMark/>
          </w:tcPr>
          <w:p w14:paraId="5A642B3D"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24</w:t>
            </w:r>
          </w:p>
        </w:tc>
        <w:tc>
          <w:tcPr>
            <w:tcW w:w="1320" w:type="dxa"/>
            <w:shd w:val="clear" w:color="auto" w:fill="FFF2CC"/>
            <w:noWrap/>
            <w:hideMark/>
          </w:tcPr>
          <w:p w14:paraId="4FDB991A"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102</w:t>
            </w:r>
          </w:p>
        </w:tc>
        <w:tc>
          <w:tcPr>
            <w:tcW w:w="1420" w:type="dxa"/>
            <w:shd w:val="clear" w:color="auto" w:fill="FFF2CC"/>
            <w:noWrap/>
            <w:hideMark/>
          </w:tcPr>
          <w:p w14:paraId="368D6166" w14:textId="77777777" w:rsidR="00EC464A" w:rsidRDefault="00EC464A">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96</w:t>
            </w:r>
          </w:p>
        </w:tc>
        <w:tc>
          <w:tcPr>
            <w:tcW w:w="1420" w:type="dxa"/>
            <w:shd w:val="clear" w:color="auto" w:fill="FFF2CC"/>
            <w:noWrap/>
            <w:hideMark/>
          </w:tcPr>
          <w:p w14:paraId="68DE4F8F" w14:textId="77777777" w:rsidR="00EC464A" w:rsidRDefault="00EC464A">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180</w:t>
            </w:r>
          </w:p>
        </w:tc>
      </w:tr>
      <w:tr w:rsidR="00EC464A" w14:paraId="6FBC6FD4" w14:textId="77777777" w:rsidTr="00EC464A">
        <w:trPr>
          <w:trHeight w:val="300"/>
        </w:trPr>
        <w:tc>
          <w:tcPr>
            <w:tcW w:w="1480" w:type="dxa"/>
            <w:shd w:val="clear" w:color="auto" w:fill="FFE699"/>
            <w:noWrap/>
            <w:vAlign w:val="bottom"/>
            <w:hideMark/>
          </w:tcPr>
          <w:p w14:paraId="761EBC82"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PROMEDIO</w:t>
            </w:r>
          </w:p>
        </w:tc>
        <w:tc>
          <w:tcPr>
            <w:tcW w:w="1480" w:type="dxa"/>
            <w:shd w:val="clear" w:color="auto" w:fill="FFE699"/>
            <w:noWrap/>
            <w:vAlign w:val="bottom"/>
            <w:hideMark/>
          </w:tcPr>
          <w:p w14:paraId="1432B6DF" w14:textId="73F71067" w:rsidR="00EC464A" w:rsidRDefault="00EC464A"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64.17948</w:t>
            </w:r>
          </w:p>
        </w:tc>
        <w:tc>
          <w:tcPr>
            <w:tcW w:w="1320" w:type="dxa"/>
            <w:shd w:val="clear" w:color="auto" w:fill="FFE699"/>
            <w:noWrap/>
            <w:vAlign w:val="bottom"/>
            <w:hideMark/>
          </w:tcPr>
          <w:p w14:paraId="789E555C" w14:textId="5ED6049E" w:rsidR="00EC464A" w:rsidRDefault="00EC464A" w:rsidP="0085605F">
            <w:pPr>
              <w:spacing w:after="0" w:line="240" w:lineRule="auto"/>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40.4717</w:t>
            </w:r>
          </w:p>
        </w:tc>
        <w:tc>
          <w:tcPr>
            <w:tcW w:w="1320" w:type="dxa"/>
            <w:shd w:val="clear" w:color="auto" w:fill="FFE699"/>
            <w:noWrap/>
            <w:vAlign w:val="bottom"/>
            <w:hideMark/>
          </w:tcPr>
          <w:p w14:paraId="6D3DAE25" w14:textId="1A748EE8" w:rsidR="00EC464A" w:rsidRDefault="00EC464A" w:rsidP="0085605F">
            <w:pPr>
              <w:spacing w:after="0" w:line="240" w:lineRule="auto"/>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42.8076</w:t>
            </w:r>
          </w:p>
        </w:tc>
        <w:tc>
          <w:tcPr>
            <w:tcW w:w="1320" w:type="dxa"/>
            <w:shd w:val="clear" w:color="auto" w:fill="FFE699"/>
            <w:noWrap/>
            <w:vAlign w:val="bottom"/>
            <w:hideMark/>
          </w:tcPr>
          <w:p w14:paraId="724EA7DE" w14:textId="23B58FB8" w:rsidR="00EC464A" w:rsidRDefault="00EC464A" w:rsidP="0085605F">
            <w:pPr>
              <w:spacing w:after="0" w:line="240" w:lineRule="auto"/>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220.8538</w:t>
            </w:r>
          </w:p>
        </w:tc>
        <w:tc>
          <w:tcPr>
            <w:tcW w:w="1420" w:type="dxa"/>
            <w:shd w:val="clear" w:color="auto" w:fill="FFE699"/>
            <w:noWrap/>
            <w:vAlign w:val="bottom"/>
            <w:hideMark/>
          </w:tcPr>
          <w:p w14:paraId="4E8AD52D" w14:textId="4706C1CC" w:rsidR="00EC464A" w:rsidRDefault="00EC464A" w:rsidP="0085605F">
            <w:pPr>
              <w:spacing w:after="0" w:line="240" w:lineRule="auto"/>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43.9717</w:t>
            </w:r>
          </w:p>
        </w:tc>
        <w:tc>
          <w:tcPr>
            <w:tcW w:w="1420" w:type="dxa"/>
            <w:shd w:val="clear" w:color="auto" w:fill="FFE699"/>
            <w:noWrap/>
            <w:vAlign w:val="bottom"/>
            <w:hideMark/>
          </w:tcPr>
          <w:p w14:paraId="3F20FDFC" w14:textId="51AB4B43" w:rsidR="00EC464A" w:rsidRDefault="00EC464A" w:rsidP="0085605F">
            <w:pPr>
              <w:spacing w:after="0" w:line="240" w:lineRule="auto"/>
              <w:jc w:val="center"/>
              <w:rPr>
                <w:rFonts w:ascii="Calibri" w:eastAsia="Times New Roman" w:hAnsi="Calibri" w:cs="Calibri"/>
                <w:b/>
                <w:bCs/>
                <w:i/>
                <w:iCs/>
                <w:color w:val="000000"/>
                <w:lang w:eastAsia="es-ES"/>
              </w:rPr>
            </w:pPr>
            <w:r>
              <w:rPr>
                <w:rFonts w:ascii="Calibri" w:eastAsia="Times New Roman" w:hAnsi="Calibri" w:cs="Calibri"/>
                <w:b/>
                <w:bCs/>
                <w:i/>
                <w:iCs/>
                <w:color w:val="000000"/>
                <w:lang w:eastAsia="es-ES"/>
              </w:rPr>
              <w:t>355.9002</w:t>
            </w:r>
          </w:p>
        </w:tc>
      </w:tr>
      <w:tr w:rsidR="00EC464A" w14:paraId="50445FB2" w14:textId="77777777" w:rsidTr="00EC464A">
        <w:trPr>
          <w:trHeight w:val="300"/>
        </w:trPr>
        <w:tc>
          <w:tcPr>
            <w:tcW w:w="1480" w:type="dxa"/>
            <w:shd w:val="clear" w:color="auto" w:fill="FFE699"/>
            <w:noWrap/>
            <w:vAlign w:val="bottom"/>
            <w:hideMark/>
          </w:tcPr>
          <w:p w14:paraId="2B1B1C91"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DESV.ST</w:t>
            </w:r>
          </w:p>
        </w:tc>
        <w:tc>
          <w:tcPr>
            <w:tcW w:w="1480" w:type="dxa"/>
            <w:shd w:val="clear" w:color="auto" w:fill="FFE699"/>
            <w:noWrap/>
            <w:vAlign w:val="bottom"/>
            <w:hideMark/>
          </w:tcPr>
          <w:p w14:paraId="4A23A697" w14:textId="0E449B87"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00EC464A">
              <w:rPr>
                <w:rFonts w:ascii="Calibri" w:eastAsia="Times New Roman" w:hAnsi="Calibri" w:cs="Calibri"/>
                <w:color w:val="000000"/>
                <w:lang w:eastAsia="es-ES"/>
              </w:rPr>
              <w:t>16.5573</w:t>
            </w:r>
          </w:p>
        </w:tc>
        <w:tc>
          <w:tcPr>
            <w:tcW w:w="1320" w:type="dxa"/>
            <w:shd w:val="clear" w:color="auto" w:fill="FFE699"/>
            <w:noWrap/>
            <w:vAlign w:val="bottom"/>
            <w:hideMark/>
          </w:tcPr>
          <w:p w14:paraId="54BAC65F" w14:textId="4072C6E2"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00EC464A">
              <w:rPr>
                <w:rFonts w:ascii="Calibri" w:eastAsia="Times New Roman" w:hAnsi="Calibri" w:cs="Calibri"/>
                <w:color w:val="000000"/>
                <w:lang w:eastAsia="es-ES"/>
              </w:rPr>
              <w:t>20.7788</w:t>
            </w:r>
          </w:p>
        </w:tc>
        <w:tc>
          <w:tcPr>
            <w:tcW w:w="1320" w:type="dxa"/>
            <w:shd w:val="clear" w:color="auto" w:fill="FFE699"/>
            <w:noWrap/>
            <w:vAlign w:val="bottom"/>
            <w:hideMark/>
          </w:tcPr>
          <w:p w14:paraId="1C590A59" w14:textId="7BA523AC"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00EC464A">
              <w:rPr>
                <w:rFonts w:ascii="Calibri" w:eastAsia="Times New Roman" w:hAnsi="Calibri" w:cs="Calibri"/>
                <w:color w:val="000000"/>
                <w:lang w:eastAsia="es-ES"/>
              </w:rPr>
              <w:t>28.8817</w:t>
            </w:r>
          </w:p>
        </w:tc>
        <w:tc>
          <w:tcPr>
            <w:tcW w:w="1320" w:type="dxa"/>
            <w:shd w:val="clear" w:color="auto" w:fill="FFE699"/>
            <w:noWrap/>
            <w:vAlign w:val="bottom"/>
            <w:hideMark/>
          </w:tcPr>
          <w:p w14:paraId="1EEEB806" w14:textId="3EC9F1C4"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 xml:space="preserve">± </w:t>
            </w:r>
            <w:r w:rsidR="00EC464A">
              <w:rPr>
                <w:rFonts w:ascii="Calibri" w:eastAsia="Times New Roman" w:hAnsi="Calibri" w:cs="Calibri"/>
                <w:color w:val="000000"/>
                <w:lang w:eastAsia="es-ES"/>
              </w:rPr>
              <w:t>89.1791</w:t>
            </w:r>
          </w:p>
        </w:tc>
        <w:tc>
          <w:tcPr>
            <w:tcW w:w="1420" w:type="dxa"/>
            <w:shd w:val="clear" w:color="auto" w:fill="FFE699"/>
            <w:noWrap/>
            <w:vAlign w:val="bottom"/>
            <w:hideMark/>
          </w:tcPr>
          <w:p w14:paraId="471680CA" w14:textId="1C88C9A9"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w:t>
            </w:r>
            <w:r w:rsidR="00EC464A">
              <w:rPr>
                <w:rFonts w:ascii="Calibri" w:eastAsia="Times New Roman" w:hAnsi="Calibri" w:cs="Calibri"/>
                <w:color w:val="000000"/>
                <w:lang w:eastAsia="es-ES"/>
              </w:rPr>
              <w:t>31.9958</w:t>
            </w:r>
          </w:p>
        </w:tc>
        <w:tc>
          <w:tcPr>
            <w:tcW w:w="1420" w:type="dxa"/>
            <w:shd w:val="clear" w:color="auto" w:fill="FFE699"/>
            <w:noWrap/>
            <w:vAlign w:val="bottom"/>
            <w:hideMark/>
          </w:tcPr>
          <w:p w14:paraId="4557B194" w14:textId="1C04FCFB" w:rsidR="00EC464A" w:rsidRDefault="0085605F" w:rsidP="0085605F">
            <w:pPr>
              <w:spacing w:after="0" w:line="240" w:lineRule="auto"/>
              <w:jc w:val="center"/>
              <w:rPr>
                <w:rFonts w:ascii="Calibri" w:eastAsia="Times New Roman" w:hAnsi="Calibri" w:cs="Calibri"/>
                <w:color w:val="000000"/>
                <w:lang w:eastAsia="es-ES"/>
              </w:rPr>
            </w:pPr>
            <w:r>
              <w:rPr>
                <w:rFonts w:ascii="Calibri" w:eastAsia="Times New Roman" w:hAnsi="Calibri" w:cs="Calibri"/>
                <w:color w:val="000000"/>
                <w:lang w:eastAsia="es-ES"/>
              </w:rPr>
              <w:t>±</w:t>
            </w:r>
            <w:r w:rsidR="00EC464A">
              <w:rPr>
                <w:rFonts w:ascii="Calibri" w:eastAsia="Times New Roman" w:hAnsi="Calibri" w:cs="Calibri"/>
                <w:color w:val="000000"/>
                <w:lang w:eastAsia="es-ES"/>
              </w:rPr>
              <w:t>138.3099</w:t>
            </w:r>
          </w:p>
        </w:tc>
      </w:tr>
      <w:tr w:rsidR="00EC464A" w14:paraId="54FE9BFC" w14:textId="77777777" w:rsidTr="00EC464A">
        <w:trPr>
          <w:trHeight w:val="300"/>
        </w:trPr>
        <w:tc>
          <w:tcPr>
            <w:tcW w:w="1480" w:type="dxa"/>
            <w:shd w:val="clear" w:color="auto" w:fill="FFC000"/>
            <w:noWrap/>
            <w:vAlign w:val="bottom"/>
            <w:hideMark/>
          </w:tcPr>
          <w:p w14:paraId="6A17FCD7" w14:textId="77777777" w:rsidR="00EC464A" w:rsidRDefault="00EC464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w:t>
            </w:r>
          </w:p>
        </w:tc>
        <w:tc>
          <w:tcPr>
            <w:tcW w:w="1480" w:type="dxa"/>
            <w:shd w:val="clear" w:color="auto" w:fill="FFC000"/>
            <w:noWrap/>
            <w:vAlign w:val="bottom"/>
            <w:hideMark/>
          </w:tcPr>
          <w:p w14:paraId="354BA164" w14:textId="7C786310"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V</w:t>
            </w:r>
            <w:r w:rsidR="0085605F" w:rsidRPr="0085605F">
              <w:rPr>
                <w:rFonts w:ascii="Times New Roman" w:eastAsia="Times New Roman" w:hAnsi="Times New Roman" w:cs="Times New Roman"/>
                <w:b/>
                <w:bCs/>
                <w:color w:val="000000"/>
                <w:sz w:val="20"/>
                <w:szCs w:val="20"/>
                <w:lang w:eastAsia="es-ES"/>
              </w:rPr>
              <w:t>ALORES DE</w:t>
            </w:r>
            <w:r w:rsidRPr="0085605F">
              <w:rPr>
                <w:rFonts w:ascii="Times New Roman" w:eastAsia="Times New Roman" w:hAnsi="Times New Roman" w:cs="Times New Roman"/>
                <w:b/>
                <w:bCs/>
                <w:color w:val="000000"/>
                <w:sz w:val="20"/>
                <w:szCs w:val="20"/>
                <w:lang w:eastAsia="es-ES"/>
              </w:rPr>
              <w:t xml:space="preserve"> REFERENCIA</w:t>
            </w:r>
          </w:p>
        </w:tc>
        <w:tc>
          <w:tcPr>
            <w:tcW w:w="1320" w:type="dxa"/>
            <w:shd w:val="clear" w:color="auto" w:fill="FFC000"/>
            <w:noWrap/>
            <w:vAlign w:val="bottom"/>
            <w:hideMark/>
          </w:tcPr>
          <w:p w14:paraId="317B58A3" w14:textId="77777777"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10 – 39 UI/L</w:t>
            </w:r>
          </w:p>
        </w:tc>
        <w:tc>
          <w:tcPr>
            <w:tcW w:w="1320" w:type="dxa"/>
            <w:shd w:val="clear" w:color="auto" w:fill="FFC000"/>
            <w:noWrap/>
            <w:vAlign w:val="bottom"/>
            <w:hideMark/>
          </w:tcPr>
          <w:p w14:paraId="640440DA" w14:textId="77777777"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10 – 49 UI/L</w:t>
            </w:r>
          </w:p>
        </w:tc>
        <w:tc>
          <w:tcPr>
            <w:tcW w:w="1320" w:type="dxa"/>
            <w:shd w:val="clear" w:color="auto" w:fill="FFC000"/>
            <w:noWrap/>
            <w:vAlign w:val="bottom"/>
            <w:hideMark/>
          </w:tcPr>
          <w:p w14:paraId="1238CAA8" w14:textId="77777777"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45 – 129 UI/L</w:t>
            </w:r>
          </w:p>
        </w:tc>
        <w:tc>
          <w:tcPr>
            <w:tcW w:w="1420" w:type="dxa"/>
            <w:shd w:val="clear" w:color="auto" w:fill="FFC000"/>
            <w:noWrap/>
            <w:vAlign w:val="bottom"/>
            <w:hideMark/>
          </w:tcPr>
          <w:p w14:paraId="27C3523E" w14:textId="77777777"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7.0 – 32.0 UI/L</w:t>
            </w:r>
          </w:p>
        </w:tc>
        <w:tc>
          <w:tcPr>
            <w:tcW w:w="1420" w:type="dxa"/>
            <w:shd w:val="clear" w:color="auto" w:fill="FFC000"/>
            <w:noWrap/>
            <w:vAlign w:val="bottom"/>
            <w:hideMark/>
          </w:tcPr>
          <w:p w14:paraId="0B36EBBE" w14:textId="77777777" w:rsidR="00EC464A" w:rsidRPr="0085605F" w:rsidRDefault="00EC464A">
            <w:pPr>
              <w:spacing w:after="0" w:line="240" w:lineRule="auto"/>
              <w:rPr>
                <w:rFonts w:ascii="Times New Roman" w:eastAsia="Times New Roman" w:hAnsi="Times New Roman" w:cs="Times New Roman"/>
                <w:b/>
                <w:bCs/>
                <w:color w:val="000000"/>
                <w:sz w:val="20"/>
                <w:szCs w:val="20"/>
                <w:lang w:eastAsia="es-ES"/>
              </w:rPr>
            </w:pPr>
            <w:r w:rsidRPr="0085605F">
              <w:rPr>
                <w:rFonts w:ascii="Times New Roman" w:eastAsia="Times New Roman" w:hAnsi="Times New Roman" w:cs="Times New Roman"/>
                <w:b/>
                <w:bCs/>
                <w:color w:val="000000"/>
                <w:sz w:val="20"/>
                <w:szCs w:val="20"/>
                <w:lang w:eastAsia="es-ES"/>
              </w:rPr>
              <w:t>140 – 280 UI/L</w:t>
            </w:r>
          </w:p>
        </w:tc>
      </w:tr>
    </w:tbl>
    <w:p w14:paraId="412EC880" w14:textId="77777777" w:rsidR="006541C1" w:rsidRDefault="006541C1" w:rsidP="006541C1"/>
    <w:p w14:paraId="3ACEBB94" w14:textId="77777777" w:rsidR="006541C1" w:rsidRDefault="006541C1" w:rsidP="006541C1"/>
    <w:p w14:paraId="27FEF7E1" w14:textId="77777777" w:rsidR="006541C1" w:rsidRDefault="006541C1" w:rsidP="006541C1"/>
    <w:p w14:paraId="7B7847C7" w14:textId="77777777" w:rsidR="006541C1" w:rsidRDefault="006541C1" w:rsidP="006541C1"/>
    <w:p w14:paraId="5066A3B7" w14:textId="77777777" w:rsidR="006541C1" w:rsidRDefault="006541C1" w:rsidP="006541C1"/>
    <w:p w14:paraId="596739F6" w14:textId="77777777" w:rsidR="00BF2868" w:rsidRDefault="00BF2868"/>
    <w:sectPr w:rsidR="00BF2868" w:rsidSect="00C1077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DD67" w14:textId="77777777" w:rsidR="00924060" w:rsidRDefault="00924060" w:rsidP="003522FA">
      <w:pPr>
        <w:spacing w:after="0" w:line="240" w:lineRule="auto"/>
      </w:pPr>
      <w:r>
        <w:separator/>
      </w:r>
    </w:p>
  </w:endnote>
  <w:endnote w:type="continuationSeparator" w:id="0">
    <w:p w14:paraId="64B603EE" w14:textId="77777777" w:rsidR="00924060" w:rsidRDefault="00924060" w:rsidP="0035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F23E" w14:textId="77777777" w:rsidR="004D30C9" w:rsidRDefault="004D30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639328"/>
      <w:docPartObj>
        <w:docPartGallery w:val="Page Numbers (Bottom of Page)"/>
        <w:docPartUnique/>
      </w:docPartObj>
    </w:sdtPr>
    <w:sdtContent>
      <w:p w14:paraId="620CFCC2" w14:textId="77777777" w:rsidR="004D30C9" w:rsidRDefault="004D30C9">
        <w:pPr>
          <w:pStyle w:val="Piedepgina"/>
          <w:jc w:val="right"/>
        </w:pPr>
        <w:r>
          <w:fldChar w:fldCharType="begin"/>
        </w:r>
        <w:r>
          <w:instrText>PAGE   \* MERGEFORMAT</w:instrText>
        </w:r>
        <w:r>
          <w:fldChar w:fldCharType="separate"/>
        </w:r>
        <w:r w:rsidR="004E0B9C" w:rsidRPr="004E0B9C">
          <w:rPr>
            <w:noProof/>
            <w:lang w:val="es-ES"/>
          </w:rPr>
          <w:t>4</w:t>
        </w:r>
        <w:r>
          <w:fldChar w:fldCharType="end"/>
        </w:r>
      </w:p>
    </w:sdtContent>
  </w:sdt>
  <w:p w14:paraId="27498761" w14:textId="77777777" w:rsidR="004D30C9" w:rsidRDefault="004D30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38FF" w14:textId="77777777" w:rsidR="004D30C9" w:rsidRDefault="004D30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8B8F" w14:textId="77777777" w:rsidR="00924060" w:rsidRDefault="00924060" w:rsidP="003522FA">
      <w:pPr>
        <w:spacing w:after="0" w:line="240" w:lineRule="auto"/>
      </w:pPr>
      <w:r>
        <w:separator/>
      </w:r>
    </w:p>
  </w:footnote>
  <w:footnote w:type="continuationSeparator" w:id="0">
    <w:p w14:paraId="32516689" w14:textId="77777777" w:rsidR="00924060" w:rsidRDefault="00924060" w:rsidP="00352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20F88" w14:textId="77777777" w:rsidR="004D30C9" w:rsidRDefault="004D30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8402"/>
      <w:gridCol w:w="218"/>
      <w:gridCol w:w="218"/>
    </w:tblGrid>
    <w:tr w:rsidR="003522FA" w14:paraId="6A699868" w14:textId="77777777" w:rsidTr="007F56CF">
      <w:tc>
        <w:tcPr>
          <w:tcW w:w="876" w:type="dxa"/>
          <w:tcBorders>
            <w:top w:val="nil"/>
            <w:left w:val="nil"/>
            <w:bottom w:val="nil"/>
            <w:right w:val="nil"/>
          </w:tcBorders>
          <w:vAlign w:val="bottom"/>
        </w:tcPr>
        <w:tbl>
          <w:tblPr>
            <w:tblStyle w:val="Tablaconcuadrculaclara"/>
            <w:tblW w:w="27024" w:type="dxa"/>
            <w:tblLook w:val="04A0" w:firstRow="1" w:lastRow="0" w:firstColumn="1" w:lastColumn="0" w:noHBand="0" w:noVBand="1"/>
          </w:tblPr>
          <w:tblGrid>
            <w:gridCol w:w="1146"/>
            <w:gridCol w:w="2569"/>
            <w:gridCol w:w="1422"/>
            <w:gridCol w:w="11929"/>
            <w:gridCol w:w="9958"/>
          </w:tblGrid>
          <w:tr w:rsidR="004D30C9" w14:paraId="450E23C7" w14:textId="77777777" w:rsidTr="005F0A23">
            <w:tc>
              <w:tcPr>
                <w:tcW w:w="1146" w:type="dxa"/>
                <w:tcBorders>
                  <w:top w:val="nil"/>
                  <w:left w:val="nil"/>
                  <w:bottom w:val="nil"/>
                  <w:right w:val="nil"/>
                </w:tcBorders>
              </w:tcPr>
              <w:p w14:paraId="3CC11D58" w14:textId="77777777" w:rsidR="004D30C9" w:rsidRPr="00FA0A9C" w:rsidRDefault="004D30C9" w:rsidP="003522FA">
                <w:pPr>
                  <w:pStyle w:val="Encabezado"/>
                  <w:rPr>
                    <w:sz w:val="20"/>
                    <w:szCs w:val="20"/>
                  </w:rPr>
                </w:pPr>
                <w:r>
                  <w:rPr>
                    <w:noProof/>
                    <w:lang w:eastAsia="es-MX"/>
                  </w:rPr>
                  <w:drawing>
                    <wp:inline distT="0" distB="0" distL="0" distR="0" wp14:anchorId="4FE6D098" wp14:editId="64DD34BA">
                      <wp:extent cx="590550" cy="5905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p>
            </w:tc>
            <w:tc>
              <w:tcPr>
                <w:tcW w:w="2569" w:type="dxa"/>
                <w:tcBorders>
                  <w:top w:val="nil"/>
                  <w:left w:val="nil"/>
                  <w:bottom w:val="nil"/>
                  <w:right w:val="nil"/>
                </w:tcBorders>
              </w:tcPr>
              <w:p w14:paraId="578F9162" w14:textId="77777777" w:rsidR="004D30C9" w:rsidRDefault="004D30C9" w:rsidP="003522FA">
                <w:pPr>
                  <w:pStyle w:val="Encabezado"/>
                  <w:rPr>
                    <w:sz w:val="20"/>
                    <w:szCs w:val="20"/>
                  </w:rPr>
                </w:pPr>
                <w:r w:rsidRPr="00FA0A9C">
                  <w:rPr>
                    <w:sz w:val="20"/>
                    <w:szCs w:val="20"/>
                  </w:rPr>
                  <w:t>Naturaleza y Tecnología</w:t>
                </w:r>
              </w:p>
              <w:p w14:paraId="39C94354" w14:textId="77777777" w:rsidR="004D30C9" w:rsidRDefault="004D30C9" w:rsidP="003522FA">
                <w:pPr>
                  <w:pStyle w:val="Encabezado"/>
                  <w:rPr>
                    <w:sz w:val="20"/>
                    <w:szCs w:val="20"/>
                  </w:rPr>
                </w:pPr>
                <w:r>
                  <w:rPr>
                    <w:sz w:val="20"/>
                    <w:szCs w:val="20"/>
                  </w:rPr>
                  <w:t>Número Especial</w:t>
                </w:r>
              </w:p>
              <w:p w14:paraId="7928C87A" w14:textId="77777777" w:rsidR="004D30C9" w:rsidRDefault="004D30C9" w:rsidP="004D30C9">
                <w:pPr>
                  <w:pStyle w:val="Encabezado"/>
                  <w:rPr>
                    <w:sz w:val="20"/>
                    <w:szCs w:val="20"/>
                  </w:rPr>
                </w:pPr>
                <w:r>
                  <w:rPr>
                    <w:sz w:val="20"/>
                    <w:szCs w:val="20"/>
                  </w:rPr>
                  <w:t>ISSN 2007-672X</w:t>
                </w:r>
              </w:p>
              <w:p w14:paraId="2C9FDDCB" w14:textId="77777777" w:rsidR="004D30C9" w:rsidRDefault="004D30C9" w:rsidP="004D30C9">
                <w:pPr>
                  <w:pStyle w:val="Encabezado"/>
                  <w:rPr>
                    <w:sz w:val="20"/>
                    <w:szCs w:val="20"/>
                  </w:rPr>
                </w:pPr>
                <w:r>
                  <w:rPr>
                    <w:sz w:val="20"/>
                    <w:szCs w:val="20"/>
                  </w:rPr>
                  <w:t>Universidad de Guanajuato</w:t>
                </w:r>
              </w:p>
            </w:tc>
            <w:tc>
              <w:tcPr>
                <w:tcW w:w="1422" w:type="dxa"/>
                <w:tcBorders>
                  <w:top w:val="nil"/>
                  <w:left w:val="nil"/>
                  <w:bottom w:val="nil"/>
                  <w:right w:val="nil"/>
                </w:tcBorders>
              </w:tcPr>
              <w:p w14:paraId="0C0C76C3" w14:textId="77777777" w:rsidR="004D30C9" w:rsidRDefault="004D30C9" w:rsidP="003522FA">
                <w:pPr>
                  <w:pStyle w:val="Encabezado"/>
                </w:pPr>
              </w:p>
            </w:tc>
            <w:tc>
              <w:tcPr>
                <w:tcW w:w="11929" w:type="dxa"/>
                <w:tcBorders>
                  <w:top w:val="nil"/>
                  <w:left w:val="nil"/>
                  <w:bottom w:val="nil"/>
                  <w:right w:val="nil"/>
                </w:tcBorders>
              </w:tcPr>
              <w:p w14:paraId="5534CB4A" w14:textId="77777777" w:rsidR="004D30C9" w:rsidRPr="005F0A23" w:rsidRDefault="005F0A23" w:rsidP="003522FA">
                <w:pPr>
                  <w:pStyle w:val="Encabezado"/>
                  <w:rPr>
                    <w:b/>
                    <w:sz w:val="20"/>
                    <w:szCs w:val="20"/>
                  </w:rPr>
                </w:pPr>
                <w:r>
                  <w:rPr>
                    <w:sz w:val="20"/>
                    <w:szCs w:val="20"/>
                  </w:rPr>
                  <w:t xml:space="preserve">       </w:t>
                </w:r>
                <w:r w:rsidRPr="005F0A23">
                  <w:rPr>
                    <w:b/>
                    <w:sz w:val="20"/>
                    <w:szCs w:val="20"/>
                  </w:rPr>
                  <w:t>Taller simposio internacional</w:t>
                </w:r>
              </w:p>
              <w:p w14:paraId="6567B56A" w14:textId="77777777" w:rsidR="005F0A23" w:rsidRDefault="005F0A23" w:rsidP="003522FA">
                <w:pPr>
                  <w:pStyle w:val="Encabezado"/>
                  <w:rPr>
                    <w:sz w:val="20"/>
                    <w:szCs w:val="20"/>
                  </w:rPr>
                </w:pPr>
                <w:r>
                  <w:rPr>
                    <w:sz w:val="20"/>
                    <w:szCs w:val="20"/>
                  </w:rPr>
                  <w:t xml:space="preserve">    “ESTRATEGIAS SINTÉTICAS DE </w:t>
                </w:r>
              </w:p>
              <w:p w14:paraId="56A7940D" w14:textId="77777777" w:rsidR="005F0A23" w:rsidRDefault="005F0A23" w:rsidP="003522FA">
                <w:pPr>
                  <w:pStyle w:val="Encabezado"/>
                  <w:rPr>
                    <w:sz w:val="20"/>
                    <w:szCs w:val="20"/>
                  </w:rPr>
                </w:pPr>
                <w:r>
                  <w:rPr>
                    <w:sz w:val="20"/>
                    <w:szCs w:val="20"/>
                  </w:rPr>
                  <w:t xml:space="preserve"> FRONTERA EN QUÍMICA ORGÁNICA”</w:t>
                </w:r>
              </w:p>
              <w:p w14:paraId="75E789D1" w14:textId="77777777" w:rsidR="00BA10B6" w:rsidRPr="00FA0A9C" w:rsidRDefault="00BA10B6" w:rsidP="003522FA">
                <w:pPr>
                  <w:pStyle w:val="Encabezado"/>
                  <w:rPr>
                    <w:sz w:val="20"/>
                    <w:szCs w:val="20"/>
                  </w:rPr>
                </w:pPr>
                <w:r>
                  <w:rPr>
                    <w:sz w:val="20"/>
                    <w:szCs w:val="20"/>
                  </w:rPr>
                  <w:t xml:space="preserve">      MEMORIAS, Noviembre 2022</w:t>
                </w:r>
              </w:p>
            </w:tc>
            <w:tc>
              <w:tcPr>
                <w:tcW w:w="9958" w:type="dxa"/>
                <w:tcBorders>
                  <w:left w:val="nil"/>
                </w:tcBorders>
              </w:tcPr>
              <w:p w14:paraId="4E9F01A0" w14:textId="77777777" w:rsidR="004D30C9" w:rsidRPr="00FA0A9C" w:rsidRDefault="004D30C9" w:rsidP="003522FA">
                <w:pPr>
                  <w:pStyle w:val="Encabezado"/>
                  <w:rPr>
                    <w:sz w:val="20"/>
                    <w:szCs w:val="20"/>
                  </w:rPr>
                </w:pPr>
              </w:p>
            </w:tc>
          </w:tr>
        </w:tbl>
        <w:p w14:paraId="4A7F5C2A" w14:textId="77777777" w:rsidR="003522FA" w:rsidRPr="0034040F" w:rsidRDefault="003522FA" w:rsidP="003522FA">
          <w:pPr>
            <w:pStyle w:val="Encabezado"/>
            <w:rPr>
              <w:sz w:val="20"/>
              <w:szCs w:val="20"/>
              <w:lang w:val="es-MX"/>
            </w:rPr>
          </w:pPr>
        </w:p>
      </w:tc>
      <w:tc>
        <w:tcPr>
          <w:tcW w:w="4882" w:type="dxa"/>
          <w:tcBorders>
            <w:top w:val="nil"/>
            <w:left w:val="nil"/>
            <w:bottom w:val="nil"/>
            <w:right w:val="nil"/>
          </w:tcBorders>
        </w:tcPr>
        <w:p w14:paraId="12FF8D0E" w14:textId="77777777" w:rsidR="003522FA" w:rsidRPr="005F0A23" w:rsidRDefault="003522FA" w:rsidP="003522FA">
          <w:pPr>
            <w:pStyle w:val="Encabezado"/>
            <w:rPr>
              <w:lang w:val="es-MX"/>
            </w:rPr>
          </w:pPr>
        </w:p>
      </w:tc>
      <w:tc>
        <w:tcPr>
          <w:tcW w:w="2880" w:type="dxa"/>
          <w:tcBorders>
            <w:top w:val="nil"/>
            <w:left w:val="nil"/>
            <w:bottom w:val="nil"/>
            <w:right w:val="nil"/>
          </w:tcBorders>
        </w:tcPr>
        <w:p w14:paraId="70D304BC" w14:textId="77777777" w:rsidR="003522FA" w:rsidRDefault="003522FA" w:rsidP="003522FA">
          <w:pPr>
            <w:pStyle w:val="Encabezado"/>
          </w:pPr>
        </w:p>
      </w:tc>
    </w:tr>
  </w:tbl>
  <w:p w14:paraId="7008AE36" w14:textId="77777777" w:rsidR="003522FA" w:rsidRDefault="003522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FF57E" w14:textId="77777777" w:rsidR="004D30C9" w:rsidRDefault="004D30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FA"/>
    <w:rsid w:val="0000351A"/>
    <w:rsid w:val="0000387F"/>
    <w:rsid w:val="00004495"/>
    <w:rsid w:val="00004BB1"/>
    <w:rsid w:val="00016F25"/>
    <w:rsid w:val="00017A4F"/>
    <w:rsid w:val="00032CA7"/>
    <w:rsid w:val="000419E6"/>
    <w:rsid w:val="000471FB"/>
    <w:rsid w:val="000516BA"/>
    <w:rsid w:val="00051F0D"/>
    <w:rsid w:val="00060534"/>
    <w:rsid w:val="000644D3"/>
    <w:rsid w:val="0007057B"/>
    <w:rsid w:val="00073B3B"/>
    <w:rsid w:val="0007550F"/>
    <w:rsid w:val="00075B41"/>
    <w:rsid w:val="00082209"/>
    <w:rsid w:val="00087251"/>
    <w:rsid w:val="0009105E"/>
    <w:rsid w:val="00091539"/>
    <w:rsid w:val="0009191F"/>
    <w:rsid w:val="00093114"/>
    <w:rsid w:val="000A1208"/>
    <w:rsid w:val="000A35BB"/>
    <w:rsid w:val="000C49C1"/>
    <w:rsid w:val="000D0AE2"/>
    <w:rsid w:val="000D5F95"/>
    <w:rsid w:val="000F0440"/>
    <w:rsid w:val="00100630"/>
    <w:rsid w:val="001006D6"/>
    <w:rsid w:val="001145AE"/>
    <w:rsid w:val="00117D2F"/>
    <w:rsid w:val="00131086"/>
    <w:rsid w:val="00135FBD"/>
    <w:rsid w:val="00141CDA"/>
    <w:rsid w:val="001436F9"/>
    <w:rsid w:val="00163B18"/>
    <w:rsid w:val="0017050D"/>
    <w:rsid w:val="001709FF"/>
    <w:rsid w:val="00171BC0"/>
    <w:rsid w:val="0017284C"/>
    <w:rsid w:val="00172C69"/>
    <w:rsid w:val="00174318"/>
    <w:rsid w:val="00176C55"/>
    <w:rsid w:val="0018455A"/>
    <w:rsid w:val="0019324C"/>
    <w:rsid w:val="001A3138"/>
    <w:rsid w:val="001A41A1"/>
    <w:rsid w:val="001A7956"/>
    <w:rsid w:val="001B2FC6"/>
    <w:rsid w:val="001B3608"/>
    <w:rsid w:val="001D2743"/>
    <w:rsid w:val="001E4359"/>
    <w:rsid w:val="001E6DE1"/>
    <w:rsid w:val="001E7327"/>
    <w:rsid w:val="001E7951"/>
    <w:rsid w:val="001F7B46"/>
    <w:rsid w:val="002021C8"/>
    <w:rsid w:val="00203061"/>
    <w:rsid w:val="002037A2"/>
    <w:rsid w:val="0020578D"/>
    <w:rsid w:val="00205B3A"/>
    <w:rsid w:val="00206581"/>
    <w:rsid w:val="00207AE0"/>
    <w:rsid w:val="0021461D"/>
    <w:rsid w:val="00217A1B"/>
    <w:rsid w:val="00233035"/>
    <w:rsid w:val="00235A3C"/>
    <w:rsid w:val="00237245"/>
    <w:rsid w:val="00237BB4"/>
    <w:rsid w:val="0024169D"/>
    <w:rsid w:val="00242885"/>
    <w:rsid w:val="00245AF1"/>
    <w:rsid w:val="00252E27"/>
    <w:rsid w:val="00257EAD"/>
    <w:rsid w:val="00263A4B"/>
    <w:rsid w:val="00270910"/>
    <w:rsid w:val="00275D19"/>
    <w:rsid w:val="0028007F"/>
    <w:rsid w:val="002844DB"/>
    <w:rsid w:val="002906FB"/>
    <w:rsid w:val="0029392E"/>
    <w:rsid w:val="00293BF3"/>
    <w:rsid w:val="002976BA"/>
    <w:rsid w:val="002A0FEB"/>
    <w:rsid w:val="002A4AD8"/>
    <w:rsid w:val="002A506F"/>
    <w:rsid w:val="002B7BE1"/>
    <w:rsid w:val="002C33C0"/>
    <w:rsid w:val="002C794E"/>
    <w:rsid w:val="002D3FFD"/>
    <w:rsid w:val="002D40E3"/>
    <w:rsid w:val="002E4D99"/>
    <w:rsid w:val="002E6905"/>
    <w:rsid w:val="002F5779"/>
    <w:rsid w:val="002F5C85"/>
    <w:rsid w:val="00300F51"/>
    <w:rsid w:val="003020BE"/>
    <w:rsid w:val="00305B4A"/>
    <w:rsid w:val="00307B54"/>
    <w:rsid w:val="00313A4A"/>
    <w:rsid w:val="0031600D"/>
    <w:rsid w:val="00321BDA"/>
    <w:rsid w:val="0032345B"/>
    <w:rsid w:val="003267F4"/>
    <w:rsid w:val="00331C14"/>
    <w:rsid w:val="00331F69"/>
    <w:rsid w:val="00337AC2"/>
    <w:rsid w:val="00342FB3"/>
    <w:rsid w:val="0034514A"/>
    <w:rsid w:val="003522FA"/>
    <w:rsid w:val="00352D5C"/>
    <w:rsid w:val="00354709"/>
    <w:rsid w:val="0035499A"/>
    <w:rsid w:val="0036123A"/>
    <w:rsid w:val="0036278A"/>
    <w:rsid w:val="00370B94"/>
    <w:rsid w:val="00376307"/>
    <w:rsid w:val="00377ECB"/>
    <w:rsid w:val="00381262"/>
    <w:rsid w:val="0038195A"/>
    <w:rsid w:val="003826C8"/>
    <w:rsid w:val="003918D1"/>
    <w:rsid w:val="00394B51"/>
    <w:rsid w:val="003968BE"/>
    <w:rsid w:val="00396EF3"/>
    <w:rsid w:val="003A2DD6"/>
    <w:rsid w:val="003A432C"/>
    <w:rsid w:val="003A563C"/>
    <w:rsid w:val="003B031D"/>
    <w:rsid w:val="003C3417"/>
    <w:rsid w:val="003C3FFD"/>
    <w:rsid w:val="003D0B3A"/>
    <w:rsid w:val="003E0C3B"/>
    <w:rsid w:val="003F26B3"/>
    <w:rsid w:val="003F619A"/>
    <w:rsid w:val="004030D0"/>
    <w:rsid w:val="00410257"/>
    <w:rsid w:val="004125F3"/>
    <w:rsid w:val="0042353A"/>
    <w:rsid w:val="00426F1C"/>
    <w:rsid w:val="00430207"/>
    <w:rsid w:val="00437305"/>
    <w:rsid w:val="00454A2E"/>
    <w:rsid w:val="00457686"/>
    <w:rsid w:val="00464465"/>
    <w:rsid w:val="00471F8A"/>
    <w:rsid w:val="0048175F"/>
    <w:rsid w:val="00483BAC"/>
    <w:rsid w:val="00485CF6"/>
    <w:rsid w:val="0048685E"/>
    <w:rsid w:val="00490B1E"/>
    <w:rsid w:val="004915E4"/>
    <w:rsid w:val="004A28F7"/>
    <w:rsid w:val="004B02B9"/>
    <w:rsid w:val="004B0777"/>
    <w:rsid w:val="004B2E76"/>
    <w:rsid w:val="004B33BE"/>
    <w:rsid w:val="004C0BD2"/>
    <w:rsid w:val="004D30C9"/>
    <w:rsid w:val="004D41B2"/>
    <w:rsid w:val="004D5AED"/>
    <w:rsid w:val="004E0161"/>
    <w:rsid w:val="004E0B9C"/>
    <w:rsid w:val="004E2329"/>
    <w:rsid w:val="004E2AF2"/>
    <w:rsid w:val="004E4152"/>
    <w:rsid w:val="004E5555"/>
    <w:rsid w:val="004F27DD"/>
    <w:rsid w:val="004F29C5"/>
    <w:rsid w:val="004F59A7"/>
    <w:rsid w:val="00506D98"/>
    <w:rsid w:val="005138E4"/>
    <w:rsid w:val="005158DE"/>
    <w:rsid w:val="00516BE0"/>
    <w:rsid w:val="005176D0"/>
    <w:rsid w:val="00522889"/>
    <w:rsid w:val="005257E7"/>
    <w:rsid w:val="00534075"/>
    <w:rsid w:val="00535F18"/>
    <w:rsid w:val="0054319A"/>
    <w:rsid w:val="00543AF2"/>
    <w:rsid w:val="0054434E"/>
    <w:rsid w:val="00544A33"/>
    <w:rsid w:val="00557E79"/>
    <w:rsid w:val="00566501"/>
    <w:rsid w:val="00571C32"/>
    <w:rsid w:val="00583A62"/>
    <w:rsid w:val="005901C5"/>
    <w:rsid w:val="00591C6E"/>
    <w:rsid w:val="005979BE"/>
    <w:rsid w:val="00597A73"/>
    <w:rsid w:val="005A30C7"/>
    <w:rsid w:val="005A382D"/>
    <w:rsid w:val="005A47B0"/>
    <w:rsid w:val="005A73A2"/>
    <w:rsid w:val="005C0B0F"/>
    <w:rsid w:val="005C459B"/>
    <w:rsid w:val="005C7278"/>
    <w:rsid w:val="005D0FE9"/>
    <w:rsid w:val="005D48CB"/>
    <w:rsid w:val="005D796F"/>
    <w:rsid w:val="005E2624"/>
    <w:rsid w:val="005E2B18"/>
    <w:rsid w:val="005E38B1"/>
    <w:rsid w:val="005F0A23"/>
    <w:rsid w:val="005F1BD5"/>
    <w:rsid w:val="005F2222"/>
    <w:rsid w:val="005F7ADA"/>
    <w:rsid w:val="00600BBB"/>
    <w:rsid w:val="00601FC7"/>
    <w:rsid w:val="00612C19"/>
    <w:rsid w:val="00614084"/>
    <w:rsid w:val="006152B1"/>
    <w:rsid w:val="00615B04"/>
    <w:rsid w:val="006232ED"/>
    <w:rsid w:val="00634201"/>
    <w:rsid w:val="00645FB7"/>
    <w:rsid w:val="00651001"/>
    <w:rsid w:val="00652E6B"/>
    <w:rsid w:val="006541C1"/>
    <w:rsid w:val="006546A5"/>
    <w:rsid w:val="00655D7E"/>
    <w:rsid w:val="0065621E"/>
    <w:rsid w:val="00662922"/>
    <w:rsid w:val="00672226"/>
    <w:rsid w:val="006958EE"/>
    <w:rsid w:val="006A6AB6"/>
    <w:rsid w:val="006B16E1"/>
    <w:rsid w:val="006B58FA"/>
    <w:rsid w:val="006C5964"/>
    <w:rsid w:val="006D1C1F"/>
    <w:rsid w:val="006D59F9"/>
    <w:rsid w:val="006D7F65"/>
    <w:rsid w:val="006E4FBC"/>
    <w:rsid w:val="006E6C2C"/>
    <w:rsid w:val="006E70B2"/>
    <w:rsid w:val="006F3EB9"/>
    <w:rsid w:val="006F50FF"/>
    <w:rsid w:val="006F65AF"/>
    <w:rsid w:val="006F677E"/>
    <w:rsid w:val="007028C9"/>
    <w:rsid w:val="00703D4E"/>
    <w:rsid w:val="00705586"/>
    <w:rsid w:val="007068B9"/>
    <w:rsid w:val="00706EB5"/>
    <w:rsid w:val="007112EE"/>
    <w:rsid w:val="00712714"/>
    <w:rsid w:val="00713899"/>
    <w:rsid w:val="00717845"/>
    <w:rsid w:val="00723234"/>
    <w:rsid w:val="00726B33"/>
    <w:rsid w:val="00732F8F"/>
    <w:rsid w:val="00733E7D"/>
    <w:rsid w:val="007358F3"/>
    <w:rsid w:val="00736CFD"/>
    <w:rsid w:val="00737AA1"/>
    <w:rsid w:val="00740911"/>
    <w:rsid w:val="0074340E"/>
    <w:rsid w:val="00747A26"/>
    <w:rsid w:val="00750C03"/>
    <w:rsid w:val="00753543"/>
    <w:rsid w:val="00760527"/>
    <w:rsid w:val="00766BDD"/>
    <w:rsid w:val="00767040"/>
    <w:rsid w:val="00767E11"/>
    <w:rsid w:val="007779A6"/>
    <w:rsid w:val="00792C9C"/>
    <w:rsid w:val="00794747"/>
    <w:rsid w:val="007A14B2"/>
    <w:rsid w:val="007A195D"/>
    <w:rsid w:val="007A73C4"/>
    <w:rsid w:val="007B174C"/>
    <w:rsid w:val="007B6AAA"/>
    <w:rsid w:val="007B6DC1"/>
    <w:rsid w:val="007C13F8"/>
    <w:rsid w:val="007D3208"/>
    <w:rsid w:val="007D5E00"/>
    <w:rsid w:val="007D6A34"/>
    <w:rsid w:val="007D789A"/>
    <w:rsid w:val="007F2BF4"/>
    <w:rsid w:val="007F3066"/>
    <w:rsid w:val="007F7016"/>
    <w:rsid w:val="007F7937"/>
    <w:rsid w:val="008120A9"/>
    <w:rsid w:val="00812CA3"/>
    <w:rsid w:val="00813440"/>
    <w:rsid w:val="00814453"/>
    <w:rsid w:val="008172AC"/>
    <w:rsid w:val="008173F6"/>
    <w:rsid w:val="00817F99"/>
    <w:rsid w:val="0082081F"/>
    <w:rsid w:val="00821B5E"/>
    <w:rsid w:val="00825114"/>
    <w:rsid w:val="00836172"/>
    <w:rsid w:val="00845701"/>
    <w:rsid w:val="00845F9D"/>
    <w:rsid w:val="008505A8"/>
    <w:rsid w:val="00851E67"/>
    <w:rsid w:val="00853BDF"/>
    <w:rsid w:val="00855CB9"/>
    <w:rsid w:val="0085605F"/>
    <w:rsid w:val="00860362"/>
    <w:rsid w:val="008615B5"/>
    <w:rsid w:val="00863892"/>
    <w:rsid w:val="00864F3E"/>
    <w:rsid w:val="008718D4"/>
    <w:rsid w:val="00876227"/>
    <w:rsid w:val="00890980"/>
    <w:rsid w:val="00890C5E"/>
    <w:rsid w:val="00893180"/>
    <w:rsid w:val="008A291E"/>
    <w:rsid w:val="008A61C7"/>
    <w:rsid w:val="008B1A95"/>
    <w:rsid w:val="008B2745"/>
    <w:rsid w:val="008B4AA8"/>
    <w:rsid w:val="008B7EBC"/>
    <w:rsid w:val="008C55B9"/>
    <w:rsid w:val="008C5D7C"/>
    <w:rsid w:val="008D0826"/>
    <w:rsid w:val="008D0B2B"/>
    <w:rsid w:val="008D1533"/>
    <w:rsid w:val="008D296A"/>
    <w:rsid w:val="008F09E6"/>
    <w:rsid w:val="008F3420"/>
    <w:rsid w:val="008F60E9"/>
    <w:rsid w:val="00916E49"/>
    <w:rsid w:val="00917A38"/>
    <w:rsid w:val="0092056A"/>
    <w:rsid w:val="00921797"/>
    <w:rsid w:val="00922C22"/>
    <w:rsid w:val="009238E6"/>
    <w:rsid w:val="00924060"/>
    <w:rsid w:val="00924BA5"/>
    <w:rsid w:val="00927434"/>
    <w:rsid w:val="00931E43"/>
    <w:rsid w:val="009360CD"/>
    <w:rsid w:val="00936CE2"/>
    <w:rsid w:val="00942FF4"/>
    <w:rsid w:val="009458BA"/>
    <w:rsid w:val="00950352"/>
    <w:rsid w:val="00953799"/>
    <w:rsid w:val="0096011A"/>
    <w:rsid w:val="00967329"/>
    <w:rsid w:val="00971534"/>
    <w:rsid w:val="00974EBF"/>
    <w:rsid w:val="00974F1A"/>
    <w:rsid w:val="00977B72"/>
    <w:rsid w:val="0098171F"/>
    <w:rsid w:val="00986619"/>
    <w:rsid w:val="0099364E"/>
    <w:rsid w:val="009959AC"/>
    <w:rsid w:val="009A125A"/>
    <w:rsid w:val="009A2ECC"/>
    <w:rsid w:val="009A36C8"/>
    <w:rsid w:val="009A481A"/>
    <w:rsid w:val="009B01D2"/>
    <w:rsid w:val="009C04BB"/>
    <w:rsid w:val="009C3321"/>
    <w:rsid w:val="009C3CED"/>
    <w:rsid w:val="009C3D7D"/>
    <w:rsid w:val="009D1FA1"/>
    <w:rsid w:val="009D6E4C"/>
    <w:rsid w:val="009F7B79"/>
    <w:rsid w:val="00A05477"/>
    <w:rsid w:val="00A060A3"/>
    <w:rsid w:val="00A144FC"/>
    <w:rsid w:val="00A15A1A"/>
    <w:rsid w:val="00A16B03"/>
    <w:rsid w:val="00A1702B"/>
    <w:rsid w:val="00A20631"/>
    <w:rsid w:val="00A213ED"/>
    <w:rsid w:val="00A22F43"/>
    <w:rsid w:val="00A27714"/>
    <w:rsid w:val="00A31A60"/>
    <w:rsid w:val="00A32404"/>
    <w:rsid w:val="00A3459F"/>
    <w:rsid w:val="00A462CA"/>
    <w:rsid w:val="00A50B06"/>
    <w:rsid w:val="00A512BF"/>
    <w:rsid w:val="00A51704"/>
    <w:rsid w:val="00A54776"/>
    <w:rsid w:val="00A56915"/>
    <w:rsid w:val="00A5799C"/>
    <w:rsid w:val="00A60F18"/>
    <w:rsid w:val="00A64889"/>
    <w:rsid w:val="00A70D91"/>
    <w:rsid w:val="00A72FC0"/>
    <w:rsid w:val="00A74DFC"/>
    <w:rsid w:val="00A815E8"/>
    <w:rsid w:val="00A84F2F"/>
    <w:rsid w:val="00A85CB6"/>
    <w:rsid w:val="00A90999"/>
    <w:rsid w:val="00AA1809"/>
    <w:rsid w:val="00AA1E20"/>
    <w:rsid w:val="00AA1F00"/>
    <w:rsid w:val="00AA4384"/>
    <w:rsid w:val="00AB5E53"/>
    <w:rsid w:val="00AB76C9"/>
    <w:rsid w:val="00AB7E36"/>
    <w:rsid w:val="00AC2B8E"/>
    <w:rsid w:val="00AD197C"/>
    <w:rsid w:val="00AD697F"/>
    <w:rsid w:val="00AE6A2A"/>
    <w:rsid w:val="00B005FB"/>
    <w:rsid w:val="00B00DEA"/>
    <w:rsid w:val="00B015BA"/>
    <w:rsid w:val="00B04D0F"/>
    <w:rsid w:val="00B077C4"/>
    <w:rsid w:val="00B10B6A"/>
    <w:rsid w:val="00B1222C"/>
    <w:rsid w:val="00B16EB5"/>
    <w:rsid w:val="00B22B41"/>
    <w:rsid w:val="00B2369E"/>
    <w:rsid w:val="00B244D8"/>
    <w:rsid w:val="00B34FF5"/>
    <w:rsid w:val="00B4266B"/>
    <w:rsid w:val="00B4326A"/>
    <w:rsid w:val="00B45724"/>
    <w:rsid w:val="00B467A7"/>
    <w:rsid w:val="00B46F7E"/>
    <w:rsid w:val="00B513AB"/>
    <w:rsid w:val="00B519F4"/>
    <w:rsid w:val="00B55C07"/>
    <w:rsid w:val="00B61C78"/>
    <w:rsid w:val="00B64548"/>
    <w:rsid w:val="00B6574C"/>
    <w:rsid w:val="00B72171"/>
    <w:rsid w:val="00B750D9"/>
    <w:rsid w:val="00B77166"/>
    <w:rsid w:val="00B779FB"/>
    <w:rsid w:val="00B83389"/>
    <w:rsid w:val="00B97257"/>
    <w:rsid w:val="00BA0044"/>
    <w:rsid w:val="00BA10B6"/>
    <w:rsid w:val="00BA5995"/>
    <w:rsid w:val="00BA60D6"/>
    <w:rsid w:val="00BB038D"/>
    <w:rsid w:val="00BB1B3B"/>
    <w:rsid w:val="00BB1DCB"/>
    <w:rsid w:val="00BB675C"/>
    <w:rsid w:val="00BB6BFD"/>
    <w:rsid w:val="00BB7D34"/>
    <w:rsid w:val="00BC31EE"/>
    <w:rsid w:val="00BC3D91"/>
    <w:rsid w:val="00BD280E"/>
    <w:rsid w:val="00BE21A6"/>
    <w:rsid w:val="00BE4B6F"/>
    <w:rsid w:val="00BE7632"/>
    <w:rsid w:val="00BF045A"/>
    <w:rsid w:val="00BF2868"/>
    <w:rsid w:val="00C00819"/>
    <w:rsid w:val="00C02E8C"/>
    <w:rsid w:val="00C045A9"/>
    <w:rsid w:val="00C1077D"/>
    <w:rsid w:val="00C12127"/>
    <w:rsid w:val="00C24247"/>
    <w:rsid w:val="00C25006"/>
    <w:rsid w:val="00C4031A"/>
    <w:rsid w:val="00C4351D"/>
    <w:rsid w:val="00C46440"/>
    <w:rsid w:val="00C5144B"/>
    <w:rsid w:val="00C52AAC"/>
    <w:rsid w:val="00C56F25"/>
    <w:rsid w:val="00C7425A"/>
    <w:rsid w:val="00C76659"/>
    <w:rsid w:val="00C778A7"/>
    <w:rsid w:val="00C82F80"/>
    <w:rsid w:val="00C866BF"/>
    <w:rsid w:val="00C86936"/>
    <w:rsid w:val="00C96CE6"/>
    <w:rsid w:val="00CA2318"/>
    <w:rsid w:val="00CA6363"/>
    <w:rsid w:val="00CA65D8"/>
    <w:rsid w:val="00CB13E5"/>
    <w:rsid w:val="00CB47A9"/>
    <w:rsid w:val="00CC0642"/>
    <w:rsid w:val="00CD4BE8"/>
    <w:rsid w:val="00CE098A"/>
    <w:rsid w:val="00CE461C"/>
    <w:rsid w:val="00CE4B67"/>
    <w:rsid w:val="00CF1503"/>
    <w:rsid w:val="00CF66A0"/>
    <w:rsid w:val="00D01851"/>
    <w:rsid w:val="00D01C8A"/>
    <w:rsid w:val="00D0516C"/>
    <w:rsid w:val="00D06F57"/>
    <w:rsid w:val="00D06F7B"/>
    <w:rsid w:val="00D261FC"/>
    <w:rsid w:val="00D26A49"/>
    <w:rsid w:val="00D31DE6"/>
    <w:rsid w:val="00D333C4"/>
    <w:rsid w:val="00D34988"/>
    <w:rsid w:val="00D35E99"/>
    <w:rsid w:val="00D36C0E"/>
    <w:rsid w:val="00D37820"/>
    <w:rsid w:val="00D40FA9"/>
    <w:rsid w:val="00D42167"/>
    <w:rsid w:val="00D424A6"/>
    <w:rsid w:val="00D44256"/>
    <w:rsid w:val="00D468EC"/>
    <w:rsid w:val="00D46D16"/>
    <w:rsid w:val="00D47C42"/>
    <w:rsid w:val="00D506A9"/>
    <w:rsid w:val="00D530F2"/>
    <w:rsid w:val="00D56D9D"/>
    <w:rsid w:val="00D56F92"/>
    <w:rsid w:val="00D57950"/>
    <w:rsid w:val="00D6555E"/>
    <w:rsid w:val="00D670C5"/>
    <w:rsid w:val="00D729AC"/>
    <w:rsid w:val="00D75349"/>
    <w:rsid w:val="00D75DC7"/>
    <w:rsid w:val="00D8184B"/>
    <w:rsid w:val="00D83DBF"/>
    <w:rsid w:val="00D90AAD"/>
    <w:rsid w:val="00D91455"/>
    <w:rsid w:val="00D93EB7"/>
    <w:rsid w:val="00D941FE"/>
    <w:rsid w:val="00D96459"/>
    <w:rsid w:val="00D9721B"/>
    <w:rsid w:val="00DA00A0"/>
    <w:rsid w:val="00DA09B1"/>
    <w:rsid w:val="00DA3A35"/>
    <w:rsid w:val="00DA493A"/>
    <w:rsid w:val="00DA4BDE"/>
    <w:rsid w:val="00DA550F"/>
    <w:rsid w:val="00DA70B4"/>
    <w:rsid w:val="00DA7CE8"/>
    <w:rsid w:val="00DB1216"/>
    <w:rsid w:val="00DB266C"/>
    <w:rsid w:val="00DB2C1F"/>
    <w:rsid w:val="00DB5EE6"/>
    <w:rsid w:val="00DC3225"/>
    <w:rsid w:val="00DD1F97"/>
    <w:rsid w:val="00DD6C04"/>
    <w:rsid w:val="00DE1C77"/>
    <w:rsid w:val="00DE4B5C"/>
    <w:rsid w:val="00DE5A4F"/>
    <w:rsid w:val="00DE680C"/>
    <w:rsid w:val="00DF026D"/>
    <w:rsid w:val="00DF53D6"/>
    <w:rsid w:val="00E04CA4"/>
    <w:rsid w:val="00E13A9E"/>
    <w:rsid w:val="00E16053"/>
    <w:rsid w:val="00E20DEF"/>
    <w:rsid w:val="00E21E01"/>
    <w:rsid w:val="00E22449"/>
    <w:rsid w:val="00E24ADF"/>
    <w:rsid w:val="00E24B70"/>
    <w:rsid w:val="00E25EFD"/>
    <w:rsid w:val="00E26037"/>
    <w:rsid w:val="00E40653"/>
    <w:rsid w:val="00E50382"/>
    <w:rsid w:val="00E53D11"/>
    <w:rsid w:val="00E56516"/>
    <w:rsid w:val="00E64D15"/>
    <w:rsid w:val="00E75C12"/>
    <w:rsid w:val="00E762EC"/>
    <w:rsid w:val="00E807B4"/>
    <w:rsid w:val="00EB0C06"/>
    <w:rsid w:val="00EB2920"/>
    <w:rsid w:val="00EB6579"/>
    <w:rsid w:val="00EB6EAF"/>
    <w:rsid w:val="00EC02A0"/>
    <w:rsid w:val="00EC12D0"/>
    <w:rsid w:val="00EC464A"/>
    <w:rsid w:val="00EC4C8F"/>
    <w:rsid w:val="00ED3F5C"/>
    <w:rsid w:val="00ED6557"/>
    <w:rsid w:val="00EE1BBA"/>
    <w:rsid w:val="00EE4CC7"/>
    <w:rsid w:val="00EE7222"/>
    <w:rsid w:val="00EF159D"/>
    <w:rsid w:val="00EF18FC"/>
    <w:rsid w:val="00EF7A38"/>
    <w:rsid w:val="00F0257C"/>
    <w:rsid w:val="00F04680"/>
    <w:rsid w:val="00F06198"/>
    <w:rsid w:val="00F07EEB"/>
    <w:rsid w:val="00F1193C"/>
    <w:rsid w:val="00F154F8"/>
    <w:rsid w:val="00F15863"/>
    <w:rsid w:val="00F20779"/>
    <w:rsid w:val="00F22798"/>
    <w:rsid w:val="00F22B05"/>
    <w:rsid w:val="00F26BCA"/>
    <w:rsid w:val="00F30844"/>
    <w:rsid w:val="00F30E3C"/>
    <w:rsid w:val="00F427B4"/>
    <w:rsid w:val="00F618E1"/>
    <w:rsid w:val="00F64EC3"/>
    <w:rsid w:val="00F704C7"/>
    <w:rsid w:val="00F70A67"/>
    <w:rsid w:val="00F72571"/>
    <w:rsid w:val="00F734D3"/>
    <w:rsid w:val="00F73AF1"/>
    <w:rsid w:val="00F82C4E"/>
    <w:rsid w:val="00F86614"/>
    <w:rsid w:val="00FA1E90"/>
    <w:rsid w:val="00FA4107"/>
    <w:rsid w:val="00FA4F15"/>
    <w:rsid w:val="00FA6A6C"/>
    <w:rsid w:val="00FB31C5"/>
    <w:rsid w:val="00FC31CA"/>
    <w:rsid w:val="00FC587B"/>
    <w:rsid w:val="00FC6221"/>
    <w:rsid w:val="00FD4139"/>
    <w:rsid w:val="00FD741B"/>
    <w:rsid w:val="00FE1218"/>
    <w:rsid w:val="00FE3F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3694B"/>
  <w15:chartTrackingRefBased/>
  <w15:docId w15:val="{46C36919-1543-41FB-98AF-F613DA5F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2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22FA"/>
  </w:style>
  <w:style w:type="paragraph" w:styleId="Piedepgina">
    <w:name w:val="footer"/>
    <w:basedOn w:val="Normal"/>
    <w:link w:val="PiedepginaCar"/>
    <w:uiPriority w:val="99"/>
    <w:unhideWhenUsed/>
    <w:rsid w:val="00352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22FA"/>
  </w:style>
  <w:style w:type="table" w:styleId="Tablaconcuadrcula">
    <w:name w:val="Table Grid"/>
    <w:basedOn w:val="Tablanormal"/>
    <w:uiPriority w:val="59"/>
    <w:rsid w:val="003522FA"/>
    <w:pPr>
      <w:spacing w:after="0" w:line="240" w:lineRule="auto"/>
    </w:pPr>
    <w:rPr>
      <w:rFonts w:ascii="Times New Roman" w:hAnsi="Times New Roman" w:cs="Times New Roman"/>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4D30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2">
    <w:name w:val="Plain Table 2"/>
    <w:basedOn w:val="Tablanormal"/>
    <w:uiPriority w:val="42"/>
    <w:rsid w:val="006541C1"/>
    <w:pPr>
      <w:spacing w:after="0" w:line="240" w:lineRule="auto"/>
      <w:ind w:right="964"/>
    </w:pPr>
    <w:rPr>
      <w:rFonts w:eastAsiaTheme="minorHAnsi"/>
      <w:sz w:val="16"/>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D26A49"/>
    <w:rPr>
      <w:color w:val="0563C1" w:themeColor="hyperlink"/>
      <w:u w:val="single"/>
    </w:rPr>
  </w:style>
  <w:style w:type="character" w:styleId="Mencinsinresolver">
    <w:name w:val="Unresolved Mention"/>
    <w:basedOn w:val="Fuentedeprrafopredeter"/>
    <w:uiPriority w:val="99"/>
    <w:semiHidden/>
    <w:unhideWhenUsed/>
    <w:rsid w:val="00D2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13637">
      <w:bodyDiv w:val="1"/>
      <w:marLeft w:val="0"/>
      <w:marRight w:val="0"/>
      <w:marTop w:val="0"/>
      <w:marBottom w:val="0"/>
      <w:divBdr>
        <w:top w:val="none" w:sz="0" w:space="0" w:color="auto"/>
        <w:left w:val="none" w:sz="0" w:space="0" w:color="auto"/>
        <w:bottom w:val="none" w:sz="0" w:space="0" w:color="auto"/>
        <w:right w:val="none" w:sz="0" w:space="0" w:color="auto"/>
      </w:divBdr>
    </w:div>
    <w:div w:id="529270739">
      <w:bodyDiv w:val="1"/>
      <w:marLeft w:val="0"/>
      <w:marRight w:val="0"/>
      <w:marTop w:val="0"/>
      <w:marBottom w:val="0"/>
      <w:divBdr>
        <w:top w:val="none" w:sz="0" w:space="0" w:color="auto"/>
        <w:left w:val="none" w:sz="0" w:space="0" w:color="auto"/>
        <w:bottom w:val="none" w:sz="0" w:space="0" w:color="auto"/>
        <w:right w:val="none" w:sz="0" w:space="0" w:color="auto"/>
      </w:divBdr>
    </w:div>
    <w:div w:id="691034910">
      <w:bodyDiv w:val="1"/>
      <w:marLeft w:val="0"/>
      <w:marRight w:val="0"/>
      <w:marTop w:val="0"/>
      <w:marBottom w:val="0"/>
      <w:divBdr>
        <w:top w:val="none" w:sz="0" w:space="0" w:color="auto"/>
        <w:left w:val="none" w:sz="0" w:space="0" w:color="auto"/>
        <w:bottom w:val="none" w:sz="0" w:space="0" w:color="auto"/>
        <w:right w:val="none" w:sz="0" w:space="0" w:color="auto"/>
      </w:divBdr>
    </w:div>
    <w:div w:id="1218974719">
      <w:bodyDiv w:val="1"/>
      <w:marLeft w:val="0"/>
      <w:marRight w:val="0"/>
      <w:marTop w:val="0"/>
      <w:marBottom w:val="0"/>
      <w:divBdr>
        <w:top w:val="none" w:sz="0" w:space="0" w:color="auto"/>
        <w:left w:val="none" w:sz="0" w:space="0" w:color="auto"/>
        <w:bottom w:val="none" w:sz="0" w:space="0" w:color="auto"/>
        <w:right w:val="none" w:sz="0" w:space="0" w:color="auto"/>
      </w:divBdr>
    </w:div>
    <w:div w:id="1247810209">
      <w:bodyDiv w:val="1"/>
      <w:marLeft w:val="0"/>
      <w:marRight w:val="0"/>
      <w:marTop w:val="0"/>
      <w:marBottom w:val="0"/>
      <w:divBdr>
        <w:top w:val="none" w:sz="0" w:space="0" w:color="auto"/>
        <w:left w:val="none" w:sz="0" w:space="0" w:color="auto"/>
        <w:bottom w:val="none" w:sz="0" w:space="0" w:color="auto"/>
        <w:right w:val="none" w:sz="0" w:space="0" w:color="auto"/>
      </w:divBdr>
    </w:div>
    <w:div w:id="173974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ael.ortiz@umich.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1432027k@umich.m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4BB32-B0CE-4762-A188-9DE0A1E06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1758</Words>
  <Characters>9674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Cesar Rogelio Solorio Alvarado</cp:lastModifiedBy>
  <cp:revision>3</cp:revision>
  <dcterms:created xsi:type="dcterms:W3CDTF">2022-11-05T03:40:00Z</dcterms:created>
  <dcterms:modified xsi:type="dcterms:W3CDTF">2022-11-09T18:41:00Z</dcterms:modified>
</cp:coreProperties>
</file>